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F4" w:rsidRDefault="00C72892">
      <w:pPr>
        <w:pStyle w:val="BodyText"/>
        <w:kinsoku w:val="0"/>
        <w:overflowPunct w:val="0"/>
        <w:ind w:left="427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06145" cy="898525"/>
            <wp:effectExtent l="0" t="0" r="8255" b="0"/>
            <wp:docPr id="1"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898525"/>
                    </a:xfrm>
                    <a:prstGeom prst="rect">
                      <a:avLst/>
                    </a:prstGeom>
                    <a:noFill/>
                    <a:ln>
                      <a:noFill/>
                    </a:ln>
                  </pic:spPr>
                </pic:pic>
              </a:graphicData>
            </a:graphic>
          </wp:inline>
        </w:drawing>
      </w:r>
    </w:p>
    <w:p w:rsidR="008118F4" w:rsidRDefault="00433A6E">
      <w:pPr>
        <w:pStyle w:val="BodyText"/>
        <w:kinsoku w:val="0"/>
        <w:overflowPunct w:val="0"/>
        <w:spacing w:before="126" w:after="10"/>
        <w:ind w:left="4116" w:hanging="831"/>
        <w:rPr>
          <w:rFonts w:ascii="Copperplate Gothic Light" w:hAnsi="Copperplate Gothic Light" w:cs="Copperplate Gothic Light"/>
          <w:color w:val="00529F"/>
        </w:rPr>
      </w:pPr>
      <w:r>
        <w:rPr>
          <w:rFonts w:ascii="Copperplate Gothic Light" w:hAnsi="Copperplate Gothic Light" w:cs="Copperplate Gothic Light"/>
          <w:color w:val="00529F"/>
        </w:rPr>
        <w:t>Commonwealth of Virginia</w:t>
      </w:r>
    </w:p>
    <w:p w:rsidR="008118F4" w:rsidRDefault="00C72892">
      <w:pPr>
        <w:pStyle w:val="BodyText"/>
        <w:kinsoku w:val="0"/>
        <w:overflowPunct w:val="0"/>
        <w:ind w:left="3017"/>
        <w:rPr>
          <w:rFonts w:ascii="Copperplate Gothic Light" w:hAnsi="Copperplate Gothic Light" w:cs="Copperplate Gothic Light"/>
          <w:sz w:val="20"/>
          <w:szCs w:val="20"/>
        </w:rPr>
      </w:pPr>
      <w:r>
        <w:rPr>
          <w:rFonts w:ascii="Copperplate Gothic Light" w:hAnsi="Copperplate Gothic Light" w:cs="Copperplate Gothic Light"/>
          <w:noProof/>
          <w:sz w:val="20"/>
          <w:szCs w:val="20"/>
        </w:rPr>
        <w:drawing>
          <wp:inline distT="0" distB="0" distL="0" distR="0">
            <wp:extent cx="2607945" cy="207010"/>
            <wp:effectExtent l="0" t="0" r="1905" b="2540"/>
            <wp:docPr id="2" name="Picture 2"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945" cy="207010"/>
                    </a:xfrm>
                    <a:prstGeom prst="rect">
                      <a:avLst/>
                    </a:prstGeom>
                    <a:noFill/>
                    <a:ln>
                      <a:noFill/>
                    </a:ln>
                  </pic:spPr>
                </pic:pic>
              </a:graphicData>
            </a:graphic>
          </wp:inline>
        </w:drawing>
      </w:r>
    </w:p>
    <w:p w:rsidR="008118F4" w:rsidRDefault="008118F4">
      <w:pPr>
        <w:pStyle w:val="BodyText"/>
        <w:kinsoku w:val="0"/>
        <w:overflowPunct w:val="0"/>
        <w:spacing w:before="9"/>
        <w:rPr>
          <w:rFonts w:ascii="Copperplate Gothic Light" w:hAnsi="Copperplate Gothic Light" w:cs="Copperplate Gothic Light"/>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Virginia Board for People with Disabilities"/>
      </w:tblPr>
      <w:tblGrid>
        <w:gridCol w:w="2482"/>
        <w:gridCol w:w="4376"/>
        <w:gridCol w:w="2601"/>
      </w:tblGrid>
      <w:tr w:rsidR="008118F4" w:rsidTr="00641C16">
        <w:trPr>
          <w:trHeight w:val="200"/>
          <w:tblHeader/>
        </w:trPr>
        <w:tc>
          <w:tcPr>
            <w:tcW w:w="2482" w:type="dxa"/>
          </w:tcPr>
          <w:p w:rsidR="008118F4" w:rsidRDefault="00433A6E">
            <w:pPr>
              <w:pStyle w:val="TableParagraph"/>
              <w:kinsoku w:val="0"/>
              <w:overflowPunct w:val="0"/>
              <w:ind w:left="50"/>
              <w:rPr>
                <w:b/>
                <w:bCs/>
                <w:color w:val="365F91"/>
                <w:sz w:val="20"/>
                <w:szCs w:val="20"/>
              </w:rPr>
            </w:pPr>
            <w:bookmarkStart w:id="0" w:name="_GoBack" w:colFirst="0" w:colLast="3"/>
            <w:r>
              <w:rPr>
                <w:b/>
                <w:bCs/>
                <w:color w:val="365F91"/>
                <w:sz w:val="20"/>
                <w:szCs w:val="20"/>
              </w:rPr>
              <w:t>John Kelly</w:t>
            </w:r>
          </w:p>
        </w:tc>
        <w:tc>
          <w:tcPr>
            <w:tcW w:w="4376" w:type="dxa"/>
          </w:tcPr>
          <w:p w:rsidR="008118F4" w:rsidRDefault="00433A6E">
            <w:pPr>
              <w:pStyle w:val="TableParagraph"/>
              <w:kinsoku w:val="0"/>
              <w:overflowPunct w:val="0"/>
              <w:ind w:left="744" w:right="416"/>
              <w:jc w:val="center"/>
              <w:rPr>
                <w:i/>
                <w:iCs/>
                <w:color w:val="365F91"/>
                <w:sz w:val="20"/>
                <w:szCs w:val="20"/>
              </w:rPr>
            </w:pPr>
            <w:r>
              <w:rPr>
                <w:i/>
                <w:iCs/>
                <w:color w:val="365F91"/>
                <w:sz w:val="20"/>
                <w:szCs w:val="20"/>
              </w:rPr>
              <w:t>Washington Building, Capitol Square</w:t>
            </w:r>
          </w:p>
        </w:tc>
        <w:tc>
          <w:tcPr>
            <w:tcW w:w="2601" w:type="dxa"/>
          </w:tcPr>
          <w:p w:rsidR="008118F4" w:rsidRDefault="00433A6E">
            <w:pPr>
              <w:pStyle w:val="TableParagraph"/>
              <w:kinsoku w:val="0"/>
              <w:overflowPunct w:val="0"/>
              <w:ind w:right="49"/>
              <w:jc w:val="right"/>
              <w:rPr>
                <w:color w:val="365F91"/>
                <w:sz w:val="20"/>
                <w:szCs w:val="20"/>
              </w:rPr>
            </w:pPr>
            <w:r>
              <w:rPr>
                <w:color w:val="365F91"/>
                <w:sz w:val="20"/>
                <w:szCs w:val="20"/>
              </w:rPr>
              <w:t>804-786-0016 (TTY/Voice)</w:t>
            </w:r>
          </w:p>
        </w:tc>
      </w:tr>
      <w:bookmarkEnd w:id="0"/>
      <w:tr w:rsidR="008118F4" w:rsidTr="00641C16">
        <w:trPr>
          <w:trHeight w:val="200"/>
        </w:trPr>
        <w:tc>
          <w:tcPr>
            <w:tcW w:w="2482" w:type="dxa"/>
          </w:tcPr>
          <w:p w:rsidR="008118F4" w:rsidRDefault="00433A6E">
            <w:pPr>
              <w:pStyle w:val="TableParagraph"/>
              <w:kinsoku w:val="0"/>
              <w:overflowPunct w:val="0"/>
              <w:ind w:left="50"/>
              <w:rPr>
                <w:i/>
                <w:iCs/>
                <w:color w:val="365F91"/>
                <w:sz w:val="20"/>
                <w:szCs w:val="20"/>
              </w:rPr>
            </w:pPr>
            <w:r>
              <w:rPr>
                <w:i/>
                <w:iCs/>
                <w:color w:val="365F91"/>
                <w:sz w:val="20"/>
                <w:szCs w:val="20"/>
              </w:rPr>
              <w:t>Chair</w:t>
            </w:r>
          </w:p>
        </w:tc>
        <w:tc>
          <w:tcPr>
            <w:tcW w:w="4376" w:type="dxa"/>
          </w:tcPr>
          <w:p w:rsidR="008118F4" w:rsidRDefault="00433A6E">
            <w:pPr>
              <w:pStyle w:val="TableParagraph"/>
              <w:kinsoku w:val="0"/>
              <w:overflowPunct w:val="0"/>
              <w:ind w:left="744" w:right="411"/>
              <w:jc w:val="center"/>
              <w:rPr>
                <w:i/>
                <w:iCs/>
                <w:color w:val="365F91"/>
                <w:sz w:val="20"/>
                <w:szCs w:val="20"/>
              </w:rPr>
            </w:pPr>
            <w:r>
              <w:rPr>
                <w:i/>
                <w:iCs/>
                <w:color w:val="365F91"/>
                <w:sz w:val="20"/>
                <w:szCs w:val="20"/>
              </w:rPr>
              <w:t>1100 Bank Street, 7th Floor</w:t>
            </w:r>
          </w:p>
        </w:tc>
        <w:tc>
          <w:tcPr>
            <w:tcW w:w="2601" w:type="dxa"/>
          </w:tcPr>
          <w:p w:rsidR="008118F4" w:rsidRDefault="00433A6E">
            <w:pPr>
              <w:pStyle w:val="TableParagraph"/>
              <w:kinsoku w:val="0"/>
              <w:overflowPunct w:val="0"/>
              <w:ind w:right="48"/>
              <w:jc w:val="right"/>
              <w:rPr>
                <w:color w:val="365F91"/>
                <w:sz w:val="20"/>
                <w:szCs w:val="20"/>
              </w:rPr>
            </w:pPr>
            <w:r>
              <w:rPr>
                <w:color w:val="365F91"/>
                <w:sz w:val="20"/>
                <w:szCs w:val="20"/>
              </w:rPr>
              <w:t>1-800-846-4464 (TTY/ Voice)</w:t>
            </w:r>
          </w:p>
        </w:tc>
      </w:tr>
      <w:tr w:rsidR="008118F4" w:rsidTr="00641C16">
        <w:trPr>
          <w:trHeight w:val="180"/>
        </w:trPr>
        <w:tc>
          <w:tcPr>
            <w:tcW w:w="2482" w:type="dxa"/>
          </w:tcPr>
          <w:p w:rsidR="008118F4" w:rsidRDefault="00433A6E">
            <w:pPr>
              <w:pStyle w:val="TableParagraph"/>
              <w:kinsoku w:val="0"/>
              <w:overflowPunct w:val="0"/>
              <w:spacing w:line="179" w:lineRule="exact"/>
              <w:ind w:left="50"/>
              <w:rPr>
                <w:b/>
                <w:bCs/>
                <w:color w:val="365F91"/>
                <w:sz w:val="20"/>
                <w:szCs w:val="20"/>
              </w:rPr>
            </w:pPr>
            <w:r>
              <w:rPr>
                <w:b/>
                <w:bCs/>
                <w:color w:val="365F91"/>
                <w:sz w:val="20"/>
                <w:szCs w:val="20"/>
              </w:rPr>
              <w:t xml:space="preserve">Linda </w:t>
            </w:r>
            <w:proofErr w:type="spellStart"/>
            <w:r>
              <w:rPr>
                <w:b/>
                <w:bCs/>
                <w:color w:val="365F91"/>
                <w:sz w:val="20"/>
                <w:szCs w:val="20"/>
              </w:rPr>
              <w:t>Broady</w:t>
            </w:r>
            <w:proofErr w:type="spellEnd"/>
            <w:r>
              <w:rPr>
                <w:b/>
                <w:bCs/>
                <w:color w:val="365F91"/>
                <w:sz w:val="20"/>
                <w:szCs w:val="20"/>
              </w:rPr>
              <w:t>-Myers</w:t>
            </w:r>
          </w:p>
        </w:tc>
        <w:tc>
          <w:tcPr>
            <w:tcW w:w="4376" w:type="dxa"/>
          </w:tcPr>
          <w:p w:rsidR="008118F4" w:rsidRDefault="00433A6E">
            <w:pPr>
              <w:pStyle w:val="TableParagraph"/>
              <w:kinsoku w:val="0"/>
              <w:overflowPunct w:val="0"/>
              <w:spacing w:line="179" w:lineRule="exact"/>
              <w:ind w:left="744" w:right="413"/>
              <w:jc w:val="center"/>
              <w:rPr>
                <w:i/>
                <w:iCs/>
                <w:color w:val="365F91"/>
                <w:sz w:val="20"/>
                <w:szCs w:val="20"/>
              </w:rPr>
            </w:pPr>
            <w:r>
              <w:rPr>
                <w:i/>
                <w:iCs/>
                <w:color w:val="365F91"/>
                <w:sz w:val="20"/>
                <w:szCs w:val="20"/>
              </w:rPr>
              <w:t>Richmond, Virginia 23219</w:t>
            </w:r>
          </w:p>
        </w:tc>
        <w:tc>
          <w:tcPr>
            <w:tcW w:w="2601" w:type="dxa"/>
          </w:tcPr>
          <w:p w:rsidR="008118F4" w:rsidRDefault="00433A6E">
            <w:pPr>
              <w:pStyle w:val="TableParagraph"/>
              <w:kinsoku w:val="0"/>
              <w:overflowPunct w:val="0"/>
              <w:spacing w:line="179" w:lineRule="exact"/>
              <w:ind w:right="48"/>
              <w:jc w:val="right"/>
              <w:rPr>
                <w:color w:val="365F91"/>
                <w:sz w:val="20"/>
                <w:szCs w:val="20"/>
              </w:rPr>
            </w:pPr>
            <w:r>
              <w:rPr>
                <w:color w:val="365F91"/>
                <w:sz w:val="20"/>
                <w:szCs w:val="20"/>
              </w:rPr>
              <w:t>804-786-1118 (Fax)</w:t>
            </w:r>
          </w:p>
        </w:tc>
      </w:tr>
      <w:tr w:rsidR="008118F4" w:rsidTr="00641C16">
        <w:trPr>
          <w:trHeight w:val="200"/>
        </w:trPr>
        <w:tc>
          <w:tcPr>
            <w:tcW w:w="2482" w:type="dxa"/>
          </w:tcPr>
          <w:p w:rsidR="008118F4" w:rsidRDefault="00433A6E">
            <w:pPr>
              <w:pStyle w:val="TableParagraph"/>
              <w:kinsoku w:val="0"/>
              <w:overflowPunct w:val="0"/>
              <w:ind w:left="50"/>
              <w:rPr>
                <w:i/>
                <w:iCs/>
                <w:color w:val="365F91"/>
                <w:sz w:val="20"/>
                <w:szCs w:val="20"/>
              </w:rPr>
            </w:pPr>
            <w:r>
              <w:rPr>
                <w:i/>
                <w:iCs/>
                <w:color w:val="365F91"/>
                <w:sz w:val="20"/>
                <w:szCs w:val="20"/>
              </w:rPr>
              <w:t>Vice Chair</w:t>
            </w:r>
          </w:p>
        </w:tc>
        <w:tc>
          <w:tcPr>
            <w:tcW w:w="4376" w:type="dxa"/>
          </w:tcPr>
          <w:p w:rsidR="008118F4" w:rsidRDefault="008118F4">
            <w:pPr>
              <w:pStyle w:val="TableParagraph"/>
              <w:kinsoku w:val="0"/>
              <w:overflowPunct w:val="0"/>
              <w:spacing w:line="240" w:lineRule="auto"/>
              <w:rPr>
                <w:rFonts w:ascii="Times New Roman" w:hAnsi="Times New Roman" w:cs="Times New Roman"/>
                <w:sz w:val="12"/>
                <w:szCs w:val="12"/>
              </w:rPr>
            </w:pPr>
          </w:p>
        </w:tc>
        <w:tc>
          <w:tcPr>
            <w:tcW w:w="2601" w:type="dxa"/>
          </w:tcPr>
          <w:p w:rsidR="008118F4" w:rsidRDefault="00641C16">
            <w:pPr>
              <w:pStyle w:val="TableParagraph"/>
              <w:kinsoku w:val="0"/>
              <w:overflowPunct w:val="0"/>
              <w:ind w:right="48"/>
              <w:jc w:val="right"/>
              <w:rPr>
                <w:color w:val="365F91"/>
                <w:sz w:val="20"/>
                <w:szCs w:val="20"/>
              </w:rPr>
            </w:pPr>
            <w:hyperlink r:id="rId12" w:history="1">
              <w:r w:rsidR="00433A6E">
                <w:rPr>
                  <w:color w:val="365F91"/>
                  <w:sz w:val="20"/>
                  <w:szCs w:val="20"/>
                </w:rPr>
                <w:t>info@vbpd.virginia.gov</w:t>
              </w:r>
            </w:hyperlink>
          </w:p>
        </w:tc>
      </w:tr>
      <w:tr w:rsidR="008118F4" w:rsidTr="00641C16">
        <w:trPr>
          <w:trHeight w:val="200"/>
        </w:trPr>
        <w:tc>
          <w:tcPr>
            <w:tcW w:w="2482" w:type="dxa"/>
          </w:tcPr>
          <w:p w:rsidR="008118F4" w:rsidRDefault="00433A6E">
            <w:pPr>
              <w:pStyle w:val="TableParagraph"/>
              <w:kinsoku w:val="0"/>
              <w:overflowPunct w:val="0"/>
              <w:ind w:left="50"/>
              <w:rPr>
                <w:b/>
                <w:bCs/>
                <w:color w:val="365F91"/>
                <w:sz w:val="20"/>
                <w:szCs w:val="20"/>
              </w:rPr>
            </w:pPr>
            <w:r>
              <w:rPr>
                <w:b/>
                <w:bCs/>
                <w:color w:val="365F91"/>
                <w:sz w:val="20"/>
                <w:szCs w:val="20"/>
              </w:rPr>
              <w:t>Margaret Disney</w:t>
            </w:r>
          </w:p>
        </w:tc>
        <w:tc>
          <w:tcPr>
            <w:tcW w:w="4376" w:type="dxa"/>
          </w:tcPr>
          <w:p w:rsidR="008118F4" w:rsidRDefault="008118F4">
            <w:pPr>
              <w:pStyle w:val="TableParagraph"/>
              <w:kinsoku w:val="0"/>
              <w:overflowPunct w:val="0"/>
              <w:spacing w:line="240" w:lineRule="auto"/>
              <w:rPr>
                <w:rFonts w:ascii="Times New Roman" w:hAnsi="Times New Roman" w:cs="Times New Roman"/>
                <w:sz w:val="12"/>
                <w:szCs w:val="12"/>
              </w:rPr>
            </w:pPr>
          </w:p>
        </w:tc>
        <w:tc>
          <w:tcPr>
            <w:tcW w:w="2601" w:type="dxa"/>
          </w:tcPr>
          <w:p w:rsidR="008118F4" w:rsidRDefault="00641C16">
            <w:pPr>
              <w:pStyle w:val="TableParagraph"/>
              <w:kinsoku w:val="0"/>
              <w:overflowPunct w:val="0"/>
              <w:ind w:right="49"/>
              <w:jc w:val="right"/>
              <w:rPr>
                <w:color w:val="365F91"/>
                <w:sz w:val="20"/>
                <w:szCs w:val="20"/>
              </w:rPr>
            </w:pPr>
            <w:hyperlink r:id="rId13" w:history="1">
              <w:r w:rsidR="00872E0D">
                <w:rPr>
                  <w:color w:val="365F91"/>
                  <w:sz w:val="20"/>
                  <w:szCs w:val="20"/>
                </w:rPr>
                <w:t>Website: www.vaboard.org</w:t>
              </w:r>
            </w:hyperlink>
          </w:p>
        </w:tc>
      </w:tr>
      <w:tr w:rsidR="008118F4" w:rsidTr="00641C16">
        <w:trPr>
          <w:trHeight w:val="180"/>
        </w:trPr>
        <w:tc>
          <w:tcPr>
            <w:tcW w:w="2482" w:type="dxa"/>
          </w:tcPr>
          <w:p w:rsidR="008118F4" w:rsidRDefault="00433A6E">
            <w:pPr>
              <w:pStyle w:val="TableParagraph"/>
              <w:kinsoku w:val="0"/>
              <w:overflowPunct w:val="0"/>
              <w:spacing w:line="179" w:lineRule="exact"/>
              <w:ind w:left="50"/>
              <w:rPr>
                <w:i/>
                <w:iCs/>
                <w:color w:val="365F91"/>
                <w:sz w:val="20"/>
                <w:szCs w:val="20"/>
              </w:rPr>
            </w:pPr>
            <w:r>
              <w:rPr>
                <w:i/>
                <w:iCs/>
                <w:color w:val="365F91"/>
                <w:sz w:val="20"/>
                <w:szCs w:val="20"/>
              </w:rPr>
              <w:t>Secretary</w:t>
            </w:r>
          </w:p>
        </w:tc>
        <w:tc>
          <w:tcPr>
            <w:tcW w:w="4376" w:type="dxa"/>
          </w:tcPr>
          <w:p w:rsidR="008118F4" w:rsidRDefault="008118F4">
            <w:pPr>
              <w:pStyle w:val="TableParagraph"/>
              <w:kinsoku w:val="0"/>
              <w:overflowPunct w:val="0"/>
              <w:spacing w:line="240" w:lineRule="auto"/>
              <w:rPr>
                <w:rFonts w:ascii="Times New Roman" w:hAnsi="Times New Roman" w:cs="Times New Roman"/>
                <w:sz w:val="12"/>
                <w:szCs w:val="12"/>
              </w:rPr>
            </w:pPr>
          </w:p>
        </w:tc>
        <w:tc>
          <w:tcPr>
            <w:tcW w:w="2601" w:type="dxa"/>
          </w:tcPr>
          <w:p w:rsidR="008118F4" w:rsidRDefault="008118F4">
            <w:pPr>
              <w:pStyle w:val="TableParagraph"/>
              <w:kinsoku w:val="0"/>
              <w:overflowPunct w:val="0"/>
              <w:spacing w:line="240" w:lineRule="auto"/>
              <w:rPr>
                <w:rFonts w:ascii="Times New Roman" w:hAnsi="Times New Roman" w:cs="Times New Roman"/>
                <w:sz w:val="12"/>
                <w:szCs w:val="12"/>
              </w:rPr>
            </w:pPr>
          </w:p>
        </w:tc>
      </w:tr>
      <w:tr w:rsidR="008118F4" w:rsidTr="00641C16">
        <w:trPr>
          <w:trHeight w:val="200"/>
        </w:trPr>
        <w:tc>
          <w:tcPr>
            <w:tcW w:w="2482" w:type="dxa"/>
          </w:tcPr>
          <w:p w:rsidR="008118F4" w:rsidRDefault="00433A6E">
            <w:pPr>
              <w:pStyle w:val="TableParagraph"/>
              <w:kinsoku w:val="0"/>
              <w:overflowPunct w:val="0"/>
              <w:ind w:left="50"/>
              <w:rPr>
                <w:b/>
                <w:bCs/>
                <w:color w:val="365F91"/>
                <w:sz w:val="20"/>
                <w:szCs w:val="20"/>
              </w:rPr>
            </w:pPr>
            <w:r>
              <w:rPr>
                <w:b/>
                <w:bCs/>
                <w:color w:val="365F91"/>
                <w:sz w:val="20"/>
                <w:szCs w:val="20"/>
              </w:rPr>
              <w:t>Heidi L. Lawyer</w:t>
            </w:r>
          </w:p>
        </w:tc>
        <w:tc>
          <w:tcPr>
            <w:tcW w:w="4376" w:type="dxa"/>
          </w:tcPr>
          <w:p w:rsidR="008118F4" w:rsidRDefault="008118F4">
            <w:pPr>
              <w:pStyle w:val="TableParagraph"/>
              <w:kinsoku w:val="0"/>
              <w:overflowPunct w:val="0"/>
              <w:spacing w:line="240" w:lineRule="auto"/>
              <w:rPr>
                <w:rFonts w:ascii="Times New Roman" w:hAnsi="Times New Roman" w:cs="Times New Roman"/>
                <w:sz w:val="12"/>
                <w:szCs w:val="12"/>
              </w:rPr>
            </w:pPr>
          </w:p>
        </w:tc>
        <w:tc>
          <w:tcPr>
            <w:tcW w:w="2601" w:type="dxa"/>
          </w:tcPr>
          <w:p w:rsidR="008118F4" w:rsidRDefault="008118F4">
            <w:pPr>
              <w:pStyle w:val="TableParagraph"/>
              <w:kinsoku w:val="0"/>
              <w:overflowPunct w:val="0"/>
              <w:spacing w:line="240" w:lineRule="auto"/>
              <w:rPr>
                <w:rFonts w:ascii="Times New Roman" w:hAnsi="Times New Roman" w:cs="Times New Roman"/>
                <w:sz w:val="12"/>
                <w:szCs w:val="12"/>
              </w:rPr>
            </w:pPr>
          </w:p>
        </w:tc>
      </w:tr>
      <w:tr w:rsidR="008118F4" w:rsidTr="00641C16">
        <w:trPr>
          <w:trHeight w:val="200"/>
        </w:trPr>
        <w:tc>
          <w:tcPr>
            <w:tcW w:w="2482" w:type="dxa"/>
          </w:tcPr>
          <w:p w:rsidR="008118F4" w:rsidRDefault="00433A6E">
            <w:pPr>
              <w:pStyle w:val="TableParagraph"/>
              <w:kinsoku w:val="0"/>
              <w:overflowPunct w:val="0"/>
              <w:ind w:left="50"/>
              <w:rPr>
                <w:i/>
                <w:iCs/>
                <w:color w:val="365F91"/>
                <w:sz w:val="20"/>
                <w:szCs w:val="20"/>
              </w:rPr>
            </w:pPr>
            <w:r>
              <w:rPr>
                <w:i/>
                <w:iCs/>
                <w:color w:val="365F91"/>
                <w:sz w:val="20"/>
                <w:szCs w:val="20"/>
              </w:rPr>
              <w:t>Executive Director</w:t>
            </w:r>
          </w:p>
        </w:tc>
        <w:tc>
          <w:tcPr>
            <w:tcW w:w="4376" w:type="dxa"/>
          </w:tcPr>
          <w:p w:rsidR="008118F4" w:rsidRDefault="008118F4">
            <w:pPr>
              <w:pStyle w:val="TableParagraph"/>
              <w:kinsoku w:val="0"/>
              <w:overflowPunct w:val="0"/>
              <w:spacing w:line="240" w:lineRule="auto"/>
              <w:rPr>
                <w:rFonts w:ascii="Times New Roman" w:hAnsi="Times New Roman" w:cs="Times New Roman"/>
                <w:sz w:val="12"/>
                <w:szCs w:val="12"/>
              </w:rPr>
            </w:pPr>
          </w:p>
        </w:tc>
        <w:tc>
          <w:tcPr>
            <w:tcW w:w="2601" w:type="dxa"/>
          </w:tcPr>
          <w:p w:rsidR="008118F4" w:rsidRDefault="008118F4">
            <w:pPr>
              <w:pStyle w:val="TableParagraph"/>
              <w:kinsoku w:val="0"/>
              <w:overflowPunct w:val="0"/>
              <w:spacing w:line="240" w:lineRule="auto"/>
              <w:rPr>
                <w:rFonts w:ascii="Times New Roman" w:hAnsi="Times New Roman" w:cs="Times New Roman"/>
                <w:sz w:val="12"/>
                <w:szCs w:val="12"/>
              </w:rPr>
            </w:pPr>
          </w:p>
        </w:tc>
      </w:tr>
    </w:tbl>
    <w:p w:rsidR="008118F4" w:rsidRDefault="008118F4">
      <w:pPr>
        <w:pStyle w:val="BodyText"/>
        <w:kinsoku w:val="0"/>
        <w:overflowPunct w:val="0"/>
        <w:spacing w:before="8"/>
        <w:rPr>
          <w:rFonts w:ascii="Copperplate Gothic Light" w:hAnsi="Copperplate Gothic Light" w:cs="Copperplate Gothic Light"/>
          <w:sz w:val="29"/>
          <w:szCs w:val="29"/>
        </w:rPr>
      </w:pPr>
    </w:p>
    <w:p w:rsidR="008118F4" w:rsidRDefault="00433A6E" w:rsidP="00872E0D">
      <w:pPr>
        <w:pStyle w:val="BodyText"/>
        <w:kinsoku w:val="0"/>
        <w:overflowPunct w:val="0"/>
        <w:ind w:left="4116"/>
      </w:pPr>
      <w:r>
        <w:t>November 5, 2013</w:t>
      </w:r>
    </w:p>
    <w:p w:rsidR="00872E0D" w:rsidRDefault="00872E0D" w:rsidP="00872E0D">
      <w:pPr>
        <w:pStyle w:val="BodyText"/>
        <w:kinsoku w:val="0"/>
        <w:overflowPunct w:val="0"/>
        <w:ind w:left="4116"/>
      </w:pPr>
    </w:p>
    <w:p w:rsidR="00872E0D" w:rsidRDefault="00872E0D" w:rsidP="00872E0D">
      <w:pPr>
        <w:pStyle w:val="BodyText"/>
        <w:kinsoku w:val="0"/>
        <w:overflowPunct w:val="0"/>
        <w:ind w:left="4116"/>
        <w:rPr>
          <w:sz w:val="26"/>
          <w:szCs w:val="26"/>
        </w:rPr>
      </w:pPr>
    </w:p>
    <w:p w:rsidR="008118F4" w:rsidRDefault="00433A6E">
      <w:pPr>
        <w:pStyle w:val="BodyText"/>
        <w:kinsoku w:val="0"/>
        <w:overflowPunct w:val="0"/>
        <w:ind w:left="160"/>
      </w:pPr>
      <w:r>
        <w:t xml:space="preserve">The Honorable Kathleen </w:t>
      </w:r>
      <w:proofErr w:type="spellStart"/>
      <w:r>
        <w:t>Sebelius</w:t>
      </w:r>
      <w:proofErr w:type="spellEnd"/>
    </w:p>
    <w:p w:rsidR="008118F4" w:rsidRDefault="00433A6E">
      <w:pPr>
        <w:pStyle w:val="BodyText"/>
        <w:kinsoku w:val="0"/>
        <w:overflowPunct w:val="0"/>
        <w:spacing w:before="6" w:line="244" w:lineRule="auto"/>
        <w:ind w:left="160" w:right="3970"/>
      </w:pPr>
      <w:r>
        <w:t>Secretary, U.S. Department of Health and Human Services 200 Independence Avenue, SW</w:t>
      </w:r>
    </w:p>
    <w:p w:rsidR="008118F4" w:rsidRDefault="00433A6E">
      <w:pPr>
        <w:pStyle w:val="BodyText"/>
        <w:kinsoku w:val="0"/>
        <w:overflowPunct w:val="0"/>
        <w:spacing w:line="491" w:lineRule="auto"/>
        <w:ind w:left="160" w:right="7258"/>
      </w:pPr>
      <w:r>
        <w:t xml:space="preserve">Washington, DC 20201 Dear Secretary </w:t>
      </w:r>
      <w:proofErr w:type="spellStart"/>
      <w:r>
        <w:t>Sebelius</w:t>
      </w:r>
      <w:proofErr w:type="spellEnd"/>
      <w:r>
        <w:t>,</w:t>
      </w:r>
    </w:p>
    <w:p w:rsidR="008118F4" w:rsidRDefault="00433A6E">
      <w:pPr>
        <w:pStyle w:val="BodyText"/>
        <w:kinsoku w:val="0"/>
        <w:overflowPunct w:val="0"/>
        <w:spacing w:line="244" w:lineRule="auto"/>
        <w:ind w:left="160" w:right="101"/>
      </w:pPr>
      <w:r>
        <w:t>On October 31, 2013, the National Association of Councils on Developmental Disabilities (NACDD) sent a letter to CMS regarding the proposed rule 26379 for 1915(c) and 1915(</w:t>
      </w:r>
      <w:proofErr w:type="spellStart"/>
      <w:r>
        <w:t>i</w:t>
      </w:r>
      <w:proofErr w:type="spellEnd"/>
      <w:r>
        <w:t xml:space="preserve">) that includes national standards for what constitutes a home and community-based (HCBS) setting for people </w:t>
      </w:r>
      <w:proofErr w:type="gramStart"/>
      <w:r>
        <w:t>with</w:t>
      </w:r>
      <w:proofErr w:type="gramEnd"/>
      <w:r>
        <w:t xml:space="preserve"> intellectual and developmental (ID/DD) disabilities.  The Virginia Board for People with</w:t>
      </w:r>
    </w:p>
    <w:p w:rsidR="008118F4" w:rsidRDefault="00433A6E">
      <w:pPr>
        <w:pStyle w:val="BodyText"/>
        <w:kinsoku w:val="0"/>
        <w:overflowPunct w:val="0"/>
        <w:spacing w:before="2" w:line="244" w:lineRule="auto"/>
        <w:ind w:left="160" w:right="447"/>
      </w:pPr>
      <w:r>
        <w:t>Disabilities, Virginia’s Developmental Disabilities (DD) Council, supports NACDD’s position that “CMS regulations should ensure the rapid movement of individuals with developmental disabilities from institutions to community options with necessary supports and community programs.”</w:t>
      </w:r>
    </w:p>
    <w:p w:rsidR="008118F4" w:rsidRDefault="008118F4">
      <w:pPr>
        <w:pStyle w:val="BodyText"/>
        <w:kinsoku w:val="0"/>
        <w:overflowPunct w:val="0"/>
        <w:spacing w:before="7"/>
      </w:pPr>
    </w:p>
    <w:p w:rsidR="008118F4" w:rsidRDefault="00433A6E">
      <w:pPr>
        <w:pStyle w:val="BodyText"/>
        <w:kinsoku w:val="0"/>
        <w:overflowPunct w:val="0"/>
        <w:spacing w:before="1" w:line="244" w:lineRule="auto"/>
        <w:ind w:left="160" w:right="118"/>
      </w:pPr>
      <w:r>
        <w:t>The Virginia Council has been actively engaged in policy discussions, workgroup activities and systems transformation initiatives associated with implementation of the Commonwealth’s Settlement Agreement with the Department of Justice. The Agreement is designed to ensure that individuals with intellectual and developmental disabilities (ID/DD) in Virginia are able to live integrated and full lives in the community while exercising lifestyle choices and decision-making authority.</w:t>
      </w:r>
    </w:p>
    <w:p w:rsidR="008118F4" w:rsidRDefault="008118F4">
      <w:pPr>
        <w:pStyle w:val="BodyText"/>
        <w:kinsoku w:val="0"/>
        <w:overflowPunct w:val="0"/>
        <w:spacing w:before="8"/>
      </w:pPr>
    </w:p>
    <w:p w:rsidR="008118F4" w:rsidRDefault="00433A6E">
      <w:pPr>
        <w:pStyle w:val="BodyText"/>
        <w:kinsoku w:val="0"/>
        <w:overflowPunct w:val="0"/>
        <w:spacing w:line="244" w:lineRule="auto"/>
        <w:ind w:left="160" w:right="240"/>
      </w:pPr>
      <w:r>
        <w:t>Of concern to the Virginia DD Council have been recent attempts to develop gated segregated communities where individuals with ID/DD will reside. Such developments date back to an outdated “village” or “commune” service model that does not meet the principles of integrated, independent housing. While a number of examples exist around the country, one program now under development is Vanguard Landing in Virginia Beach, which plans to house up to 185</w:t>
      </w:r>
    </w:p>
    <w:p w:rsidR="008118F4" w:rsidRDefault="008118F4">
      <w:pPr>
        <w:pStyle w:val="BodyText"/>
        <w:kinsoku w:val="0"/>
        <w:overflowPunct w:val="0"/>
        <w:spacing w:line="244" w:lineRule="auto"/>
        <w:ind w:left="160" w:right="240"/>
        <w:sectPr w:rsidR="008118F4">
          <w:type w:val="continuous"/>
          <w:pgSz w:w="12240" w:h="15840"/>
          <w:pgMar w:top="600" w:right="1160" w:bottom="280" w:left="1280" w:header="720" w:footer="720" w:gutter="0"/>
          <w:cols w:space="720"/>
          <w:noEndnote/>
        </w:sectPr>
      </w:pPr>
    </w:p>
    <w:p w:rsidR="008118F4" w:rsidRDefault="00433A6E">
      <w:pPr>
        <w:pStyle w:val="BodyText"/>
        <w:kinsoku w:val="0"/>
        <w:overflowPunct w:val="0"/>
        <w:spacing w:before="39"/>
        <w:ind w:left="100"/>
      </w:pPr>
      <w:r>
        <w:lastRenderedPageBreak/>
        <w:t>November 5, 2013</w:t>
      </w:r>
    </w:p>
    <w:p w:rsidR="008118F4" w:rsidRDefault="00433A6E">
      <w:pPr>
        <w:pStyle w:val="BodyText"/>
        <w:kinsoku w:val="0"/>
        <w:overflowPunct w:val="0"/>
        <w:ind w:left="100"/>
      </w:pPr>
      <w:r>
        <w:t>Page 2</w:t>
      </w:r>
    </w:p>
    <w:p w:rsidR="008118F4" w:rsidRDefault="008118F4">
      <w:pPr>
        <w:pStyle w:val="BodyText"/>
        <w:kinsoku w:val="0"/>
        <w:overflowPunct w:val="0"/>
        <w:spacing w:before="7"/>
        <w:rPr>
          <w:sz w:val="27"/>
          <w:szCs w:val="27"/>
        </w:rPr>
      </w:pPr>
    </w:p>
    <w:p w:rsidR="008118F4" w:rsidRDefault="00433A6E">
      <w:pPr>
        <w:pStyle w:val="BodyText"/>
        <w:kinsoku w:val="0"/>
        <w:overflowPunct w:val="0"/>
        <w:spacing w:line="244" w:lineRule="auto"/>
        <w:ind w:left="100" w:right="521"/>
        <w:rPr>
          <w:i/>
          <w:iCs/>
          <w:color w:val="000000"/>
        </w:rPr>
      </w:pPr>
      <w:proofErr w:type="gramStart"/>
      <w:r>
        <w:t>individuals</w:t>
      </w:r>
      <w:proofErr w:type="gramEnd"/>
      <w:r>
        <w:t xml:space="preserve"> with intellectual disabilities within the confines of their gated community with the majority of activities, including work and day support, also being on-site (</w:t>
      </w:r>
      <w:r>
        <w:rPr>
          <w:color w:val="003C6B"/>
        </w:rPr>
        <w:t>vanguardlanding.org</w:t>
      </w:r>
      <w:r>
        <w:rPr>
          <w:color w:val="000000"/>
        </w:rPr>
        <w:t xml:space="preserve">). Vanguard Landing’s mission states it is </w:t>
      </w:r>
      <w:r>
        <w:rPr>
          <w:i/>
          <w:iCs/>
          <w:color w:val="000000"/>
        </w:rPr>
        <w:t>“To provide a safe, progressive, and self-sustaining community for adults with mild to moderate intellectual disabilities.”</w:t>
      </w:r>
    </w:p>
    <w:p w:rsidR="008118F4" w:rsidRDefault="008118F4">
      <w:pPr>
        <w:pStyle w:val="BodyText"/>
        <w:kinsoku w:val="0"/>
        <w:overflowPunct w:val="0"/>
        <w:spacing w:before="7"/>
        <w:rPr>
          <w:i/>
          <w:iCs/>
        </w:rPr>
      </w:pPr>
    </w:p>
    <w:p w:rsidR="008118F4" w:rsidRDefault="00433A6E">
      <w:pPr>
        <w:pStyle w:val="BodyText"/>
        <w:kinsoku w:val="0"/>
        <w:overflowPunct w:val="0"/>
        <w:spacing w:before="1" w:line="244" w:lineRule="auto"/>
        <w:ind w:left="100" w:right="353"/>
        <w:jc w:val="both"/>
      </w:pPr>
      <w:r>
        <w:t>The Virginia DD Council recommends that CMS provide a clear definition of HCBS to mitigate the proliferation of these segregated and antiquated “communities” which more closely resemble an institutional model of supports. We recommend the following:</w:t>
      </w:r>
    </w:p>
    <w:p w:rsidR="008118F4" w:rsidRDefault="00433A6E">
      <w:pPr>
        <w:pStyle w:val="ListParagraph"/>
        <w:numPr>
          <w:ilvl w:val="0"/>
          <w:numId w:val="1"/>
        </w:numPr>
        <w:tabs>
          <w:tab w:val="left" w:pos="1181"/>
        </w:tabs>
        <w:kinsoku w:val="0"/>
        <w:overflowPunct w:val="0"/>
        <w:spacing w:before="187"/>
        <w:ind w:right="604"/>
        <w:jc w:val="both"/>
      </w:pPr>
      <w:r>
        <w:t xml:space="preserve">The proposed rule 26379 (May 2013) notes that community based settings “do not include NFs…or other locations that have </w:t>
      </w:r>
      <w:r>
        <w:rPr>
          <w:b/>
          <w:bCs/>
          <w:i/>
          <w:iCs/>
        </w:rPr>
        <w:t xml:space="preserve">the qualities of an institutional setting </w:t>
      </w:r>
      <w:r>
        <w:t>as determined by the Secretary”  “</w:t>
      </w:r>
      <w:r>
        <w:rPr>
          <w:i/>
          <w:iCs/>
        </w:rPr>
        <w:t xml:space="preserve">the qualities of an institutional setting” </w:t>
      </w:r>
      <w:r>
        <w:t>must</w:t>
      </w:r>
      <w:r>
        <w:rPr>
          <w:spacing w:val="-19"/>
        </w:rPr>
        <w:t xml:space="preserve"> </w:t>
      </w:r>
      <w:r>
        <w:t>be</w:t>
      </w:r>
    </w:p>
    <w:p w:rsidR="008118F4" w:rsidRDefault="00433A6E">
      <w:pPr>
        <w:pStyle w:val="BodyText"/>
        <w:kinsoku w:val="0"/>
        <w:overflowPunct w:val="0"/>
        <w:ind w:left="1180" w:right="126"/>
      </w:pPr>
      <w:proofErr w:type="gramStart"/>
      <w:r>
        <w:t>delineated</w:t>
      </w:r>
      <w:proofErr w:type="gramEnd"/>
      <w:r>
        <w:t>. As written, it is too vague. By contrast, the Money Follows the Person (MFP) program has clear definitions of what is considered community based on size (number of residents) and sets 25% as the proportion of apartment complex units which can be designated for people with disabilities in order to be considered</w:t>
      </w:r>
      <w:r>
        <w:rPr>
          <w:spacing w:val="-30"/>
        </w:rPr>
        <w:t xml:space="preserve"> </w:t>
      </w:r>
      <w:r>
        <w:t>integrated.</w:t>
      </w:r>
    </w:p>
    <w:p w:rsidR="008118F4" w:rsidRDefault="00433A6E">
      <w:pPr>
        <w:pStyle w:val="ListParagraph"/>
        <w:numPr>
          <w:ilvl w:val="0"/>
          <w:numId w:val="1"/>
        </w:numPr>
        <w:tabs>
          <w:tab w:val="left" w:pos="1181"/>
        </w:tabs>
        <w:kinsoku w:val="0"/>
        <w:overflowPunct w:val="0"/>
      </w:pPr>
      <w:r>
        <w:t>“Other locations” should be defined, and the issue of integration vs. segregation must be clearly addressed. As written, the regulations appear to allow “neighborhood segregation,” i.e., a housing complex of multiple homes with bed capacity of 4 or less and an entire apartment building to be dedicated to those with ID/DD, which constitutes</w:t>
      </w:r>
      <w:r>
        <w:rPr>
          <w:spacing w:val="-14"/>
        </w:rPr>
        <w:t xml:space="preserve"> </w:t>
      </w:r>
      <w:r>
        <w:t>segregation.</w:t>
      </w:r>
    </w:p>
    <w:p w:rsidR="008118F4" w:rsidRDefault="008118F4">
      <w:pPr>
        <w:pStyle w:val="BodyText"/>
        <w:kinsoku w:val="0"/>
        <w:overflowPunct w:val="0"/>
        <w:spacing w:before="6"/>
        <w:rPr>
          <w:sz w:val="25"/>
          <w:szCs w:val="25"/>
        </w:rPr>
      </w:pPr>
    </w:p>
    <w:p w:rsidR="008118F4" w:rsidRDefault="00433A6E">
      <w:pPr>
        <w:pStyle w:val="BodyText"/>
        <w:kinsoku w:val="0"/>
        <w:overflowPunct w:val="0"/>
        <w:spacing w:line="244" w:lineRule="auto"/>
        <w:ind w:left="100"/>
      </w:pPr>
      <w:r>
        <w:t>To best serve individuals with developmental disabilities, HCBS standards should support access to the services, supports and accommodations needed to live and work in the setting that one has chosen and to participate fully in community life. The development of segregated “communities” is contrary to our beliefs and values, to the community integration mandate of the Americans with Disabilities Act, and to the Supreme Court Olmstead decision.</w:t>
      </w:r>
    </w:p>
    <w:p w:rsidR="008118F4" w:rsidRDefault="008118F4">
      <w:pPr>
        <w:pStyle w:val="BodyText"/>
        <w:kinsoku w:val="0"/>
        <w:overflowPunct w:val="0"/>
        <w:spacing w:before="8"/>
        <w:rPr>
          <w:sz w:val="23"/>
          <w:szCs w:val="23"/>
        </w:rPr>
      </w:pPr>
    </w:p>
    <w:p w:rsidR="008118F4" w:rsidRDefault="00433A6E">
      <w:pPr>
        <w:pStyle w:val="BodyText"/>
        <w:kinsoku w:val="0"/>
        <w:overflowPunct w:val="0"/>
        <w:ind w:left="100" w:right="98"/>
      </w:pPr>
      <w:r>
        <w:t xml:space="preserve">Thank you for consideration of these recommendations. Please contact me if you have any questions or need additional information. I can be reached by phone at (804) 786-9369 or by e-mail at </w:t>
      </w:r>
      <w:hyperlink r:id="rId14" w:history="1">
        <w:r>
          <w:rPr>
            <w:u w:val="single"/>
          </w:rPr>
          <w:t>Heidi.Lawyer@vbpd.virginia.gov</w:t>
        </w:r>
      </w:hyperlink>
      <w:r>
        <w:t>.</w:t>
      </w:r>
    </w:p>
    <w:p w:rsidR="008118F4" w:rsidRDefault="008118F4">
      <w:pPr>
        <w:pStyle w:val="BodyText"/>
        <w:kinsoku w:val="0"/>
        <w:overflowPunct w:val="0"/>
        <w:spacing w:before="3"/>
        <w:rPr>
          <w:sz w:val="21"/>
          <w:szCs w:val="21"/>
        </w:rPr>
      </w:pPr>
    </w:p>
    <w:p w:rsidR="00872E0D" w:rsidRDefault="00433A6E" w:rsidP="00872E0D">
      <w:pPr>
        <w:pStyle w:val="BodyText"/>
        <w:kinsoku w:val="0"/>
        <w:overflowPunct w:val="0"/>
        <w:spacing w:before="52"/>
        <w:ind w:left="4421"/>
      </w:pPr>
      <w:r>
        <w:t>Sincerely,</w:t>
      </w:r>
    </w:p>
    <w:p w:rsidR="008118F4" w:rsidRDefault="00872E0D" w:rsidP="00872E0D">
      <w:pPr>
        <w:pStyle w:val="BodyText"/>
        <w:kinsoku w:val="0"/>
        <w:overflowPunct w:val="0"/>
        <w:spacing w:before="52"/>
        <w:ind w:left="4421"/>
        <w:rPr>
          <w:sz w:val="26"/>
          <w:szCs w:val="26"/>
        </w:rPr>
      </w:pPr>
      <w:r>
        <w:rPr>
          <w:sz w:val="26"/>
          <w:szCs w:val="26"/>
        </w:rPr>
        <w:t xml:space="preserve"> </w:t>
      </w:r>
    </w:p>
    <w:p w:rsidR="008118F4" w:rsidRDefault="00433A6E">
      <w:pPr>
        <w:pStyle w:val="BodyText"/>
        <w:kinsoku w:val="0"/>
        <w:overflowPunct w:val="0"/>
        <w:spacing w:before="1"/>
        <w:ind w:left="4338" w:right="4066"/>
        <w:jc w:val="center"/>
      </w:pPr>
      <w:r>
        <w:t>Heidi L. Lawyer</w:t>
      </w:r>
    </w:p>
    <w:p w:rsidR="008118F4" w:rsidRDefault="008118F4">
      <w:pPr>
        <w:pStyle w:val="BodyText"/>
        <w:kinsoku w:val="0"/>
        <w:overflowPunct w:val="0"/>
        <w:spacing w:before="1"/>
        <w:rPr>
          <w:sz w:val="25"/>
          <w:szCs w:val="25"/>
        </w:rPr>
      </w:pPr>
    </w:p>
    <w:p w:rsidR="008118F4" w:rsidRDefault="00433A6E" w:rsidP="00872E0D">
      <w:pPr>
        <w:pStyle w:val="BodyText"/>
        <w:tabs>
          <w:tab w:val="left" w:pos="820"/>
        </w:tabs>
        <w:kinsoku w:val="0"/>
        <w:overflowPunct w:val="0"/>
        <w:spacing w:before="1" w:line="244" w:lineRule="auto"/>
        <w:ind w:left="820" w:right="681" w:hanging="720"/>
        <w:rPr>
          <w:sz w:val="20"/>
          <w:szCs w:val="20"/>
        </w:rPr>
      </w:pPr>
      <w:r>
        <w:t>Cc:</w:t>
      </w:r>
      <w:r>
        <w:tab/>
        <w:t xml:space="preserve">Ms.  Marilyn </w:t>
      </w:r>
      <w:proofErr w:type="spellStart"/>
      <w:r>
        <w:t>Tavenner</w:t>
      </w:r>
      <w:proofErr w:type="spellEnd"/>
      <w:r>
        <w:t>, Administrator, Centers for Medicare and</w:t>
      </w:r>
      <w:r>
        <w:rPr>
          <w:spacing w:val="-27"/>
        </w:rPr>
        <w:t xml:space="preserve"> </w:t>
      </w:r>
      <w:r>
        <w:t>Medicaid</w:t>
      </w:r>
      <w:r>
        <w:rPr>
          <w:spacing w:val="-6"/>
        </w:rPr>
        <w:t xml:space="preserve"> </w:t>
      </w:r>
      <w:r>
        <w:t>Services Ms. Cynthia Mann, Deputy Administrator, Centers for</w:t>
      </w:r>
      <w:r>
        <w:rPr>
          <w:spacing w:val="-40"/>
        </w:rPr>
        <w:t xml:space="preserve"> </w:t>
      </w:r>
      <w:r>
        <w:t>Medicare and Medicaid Services John Kelly, Chair, Virginia Board for People with</w:t>
      </w:r>
      <w:r>
        <w:rPr>
          <w:spacing w:val="-21"/>
        </w:rPr>
        <w:t xml:space="preserve"> </w:t>
      </w:r>
      <w:r>
        <w:t>Disabilities</w:t>
      </w:r>
    </w:p>
    <w:p w:rsidR="00433A6E" w:rsidRDefault="00433A6E">
      <w:pPr>
        <w:pStyle w:val="BodyText"/>
        <w:kinsoku w:val="0"/>
        <w:overflowPunct w:val="0"/>
        <w:spacing w:before="7"/>
        <w:rPr>
          <w:sz w:val="11"/>
          <w:szCs w:val="11"/>
        </w:rPr>
      </w:pPr>
    </w:p>
    <w:sectPr w:rsidR="00433A6E">
      <w:pgSz w:w="12240" w:h="15840"/>
      <w:pgMar w:top="680" w:right="980" w:bottom="280" w:left="13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80" w:hanging="360"/>
      </w:pPr>
      <w:rPr>
        <w:rFonts w:ascii="Symbol" w:hAnsi="Symbol" w:cs="Symbol"/>
        <w:b w:val="0"/>
        <w:bCs w:val="0"/>
        <w:w w:val="100"/>
        <w:sz w:val="24"/>
        <w:szCs w:val="24"/>
      </w:rPr>
    </w:lvl>
    <w:lvl w:ilvl="1">
      <w:numFmt w:val="bullet"/>
      <w:lvlText w:val="•"/>
      <w:lvlJc w:val="left"/>
      <w:pPr>
        <w:ind w:left="2054" w:hanging="360"/>
      </w:pPr>
    </w:lvl>
    <w:lvl w:ilvl="2">
      <w:numFmt w:val="bullet"/>
      <w:lvlText w:val="•"/>
      <w:lvlJc w:val="left"/>
      <w:pPr>
        <w:ind w:left="2928" w:hanging="360"/>
      </w:pPr>
    </w:lvl>
    <w:lvl w:ilvl="3">
      <w:numFmt w:val="bullet"/>
      <w:lvlText w:val="•"/>
      <w:lvlJc w:val="left"/>
      <w:pPr>
        <w:ind w:left="3802" w:hanging="360"/>
      </w:pPr>
    </w:lvl>
    <w:lvl w:ilvl="4">
      <w:numFmt w:val="bullet"/>
      <w:lvlText w:val="•"/>
      <w:lvlJc w:val="left"/>
      <w:pPr>
        <w:ind w:left="4676" w:hanging="360"/>
      </w:pPr>
    </w:lvl>
    <w:lvl w:ilvl="5">
      <w:numFmt w:val="bullet"/>
      <w:lvlText w:val="•"/>
      <w:lvlJc w:val="left"/>
      <w:pPr>
        <w:ind w:left="5550" w:hanging="360"/>
      </w:pPr>
    </w:lvl>
    <w:lvl w:ilvl="6">
      <w:numFmt w:val="bullet"/>
      <w:lvlText w:val="•"/>
      <w:lvlJc w:val="left"/>
      <w:pPr>
        <w:ind w:left="6424" w:hanging="360"/>
      </w:pPr>
    </w:lvl>
    <w:lvl w:ilvl="7">
      <w:numFmt w:val="bullet"/>
      <w:lvlText w:val="•"/>
      <w:lvlJc w:val="left"/>
      <w:pPr>
        <w:ind w:left="7298" w:hanging="360"/>
      </w:pPr>
    </w:lvl>
    <w:lvl w:ilvl="8">
      <w:numFmt w:val="bullet"/>
      <w:lvlText w:val="•"/>
      <w:lvlJc w:val="left"/>
      <w:pPr>
        <w:ind w:left="817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B9"/>
    <w:rsid w:val="002823B9"/>
    <w:rsid w:val="00433A6E"/>
    <w:rsid w:val="00641C16"/>
    <w:rsid w:val="008118F4"/>
    <w:rsid w:val="00872E0D"/>
    <w:rsid w:val="00C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pPr>
      <w:spacing w:before="119"/>
      <w:ind w:left="1180" w:right="369"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872E0D"/>
    <w:rPr>
      <w:rFonts w:ascii="Tahoma" w:hAnsi="Tahoma" w:cs="Tahoma"/>
      <w:sz w:val="16"/>
      <w:szCs w:val="16"/>
    </w:rPr>
  </w:style>
  <w:style w:type="character" w:customStyle="1" w:styleId="BalloonTextChar">
    <w:name w:val="Balloon Text Char"/>
    <w:basedOn w:val="DefaultParagraphFont"/>
    <w:link w:val="BalloonText"/>
    <w:uiPriority w:val="99"/>
    <w:semiHidden/>
    <w:rsid w:val="00872E0D"/>
    <w:rPr>
      <w:rFonts w:ascii="Tahoma" w:hAnsi="Tahoma" w:cs="Tahoma"/>
      <w:sz w:val="16"/>
      <w:szCs w:val="16"/>
    </w:rPr>
  </w:style>
  <w:style w:type="table" w:styleId="TableGrid">
    <w:name w:val="Table Grid"/>
    <w:basedOn w:val="TableNormal"/>
    <w:uiPriority w:val="59"/>
    <w:rsid w:val="0064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paragraph" w:styleId="ListParagraph">
    <w:name w:val="List Paragraph"/>
    <w:basedOn w:val="Normal"/>
    <w:uiPriority w:val="1"/>
    <w:qFormat/>
    <w:pPr>
      <w:spacing w:before="119"/>
      <w:ind w:left="1180" w:right="369"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872E0D"/>
    <w:rPr>
      <w:rFonts w:ascii="Tahoma" w:hAnsi="Tahoma" w:cs="Tahoma"/>
      <w:sz w:val="16"/>
      <w:szCs w:val="16"/>
    </w:rPr>
  </w:style>
  <w:style w:type="character" w:customStyle="1" w:styleId="BalloonTextChar">
    <w:name w:val="Balloon Text Char"/>
    <w:basedOn w:val="DefaultParagraphFont"/>
    <w:link w:val="BalloonText"/>
    <w:uiPriority w:val="99"/>
    <w:semiHidden/>
    <w:rsid w:val="00872E0D"/>
    <w:rPr>
      <w:rFonts w:ascii="Tahoma" w:hAnsi="Tahoma" w:cs="Tahoma"/>
      <w:sz w:val="16"/>
      <w:szCs w:val="16"/>
    </w:rPr>
  </w:style>
  <w:style w:type="table" w:styleId="TableGrid">
    <w:name w:val="Table Grid"/>
    <w:basedOn w:val="TableNormal"/>
    <w:uiPriority w:val="59"/>
    <w:rsid w:val="0064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aboard.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vbpd.virgini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14" Type="http://schemas.openxmlformats.org/officeDocument/2006/relationships/hyperlink" Target="mailto:Heidi.Lawyer@vbpd.virginia.gov"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NKAHMF2WWKTP-399312027-2045</_dlc_DocId>
    <_dlc_DocIdUrl xmlns="89461f00-0b74-46d7-ba90-7a84aa4e2ee4">
      <Url>https://sharepoint.wwrc.net/VBPDdocs/_layouts/15/DocIdRedir.aspx?ID=NKAHMF2WWKTP-399312027-2045</Url>
      <Description>NKAHMF2WWKTP-399312027-2045</Description>
    </_dlc_DocIdUrl>
  </documentManagement>
</p:properties>
</file>

<file path=customXml/itemProps1.xml><?xml version="1.0" encoding="utf-8"?>
<ds:datastoreItem xmlns:ds="http://schemas.openxmlformats.org/officeDocument/2006/customXml" ds:itemID="{09BA37A0-5C3D-42CA-9811-89032DF13E26}"/>
</file>

<file path=customXml/itemProps2.xml><?xml version="1.0" encoding="utf-8"?>
<ds:datastoreItem xmlns:ds="http://schemas.openxmlformats.org/officeDocument/2006/customXml" ds:itemID="{1C9697CB-88DD-4047-A6CC-AA59C675E60C}"/>
</file>

<file path=customXml/itemProps3.xml><?xml version="1.0" encoding="utf-8"?>
<ds:datastoreItem xmlns:ds="http://schemas.openxmlformats.org/officeDocument/2006/customXml" ds:itemID="{60CD31E3-6885-463B-AB6D-EA576B9CA427}"/>
</file>

<file path=customXml/itemProps4.xml><?xml version="1.0" encoding="utf-8"?>
<ds:datastoreItem xmlns:ds="http://schemas.openxmlformats.org/officeDocument/2006/customXml" ds:itemID="{E4B1C0E1-5645-460A-9785-A556C9125C4E}"/>
</file>

<file path=customXml/itemProps5.xml><?xml version="1.0" encoding="utf-8"?>
<ds:datastoreItem xmlns:ds="http://schemas.openxmlformats.org/officeDocument/2006/customXml" ds:itemID="{5892BC29-0723-4E7C-9039-807CCF83C584}"/>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VBPD Comment on HCBS Clarifying Standards</vt:lpstr>
    </vt:vector>
  </TitlesOfParts>
  <Company>Virginia IT Infrastructure Partnership</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VBPD Comment on HCBS Clarifying Standards</dc:title>
  <dc:subject>VBPD Comment on HCBS Clarifying Standards</dc:subject>
  <dc:creator>VBPD</dc:creator>
  <cp:keywords>VBPD Comment on HCBS Clarifying Standards</cp:keywords>
  <cp:lastModifiedBy>Jarvela, Benjamin (VBPD)</cp:lastModifiedBy>
  <cp:revision>4</cp:revision>
  <dcterms:created xsi:type="dcterms:W3CDTF">2017-07-21T18:44:00Z</dcterms:created>
  <dcterms:modified xsi:type="dcterms:W3CDTF">2017-07-21T19:35:00Z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0x0101009A83348A73B2104AA43CA6202EED0D55</vt:lpwstr>
  </property>
  <property fmtid="{D5CDD505-2E9C-101B-9397-08002B2CF9AE}" pid="4" name="_dlc_DocIdItemGuid">
    <vt:lpwstr>7e67a7e1-1e9a-419c-9e4a-bff207439883</vt:lpwstr>
  </property>
</Properties>
</file>