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42" w:rsidRDefault="003C652F">
      <w:pPr>
        <w:pStyle w:val="BodyText"/>
        <w:ind w:left="4310"/>
        <w:rPr>
          <w:rFonts w:ascii="Times New Roman"/>
          <w:sz w:val="20"/>
        </w:rPr>
      </w:pPr>
      <w:r>
        <w:rPr>
          <w:rFonts w:ascii="Times New Roman"/>
          <w:noProof/>
          <w:sz w:val="20"/>
        </w:rPr>
        <w:drawing>
          <wp:inline distT="0" distB="0" distL="0" distR="0">
            <wp:extent cx="921607" cy="909447"/>
            <wp:effectExtent l="0" t="0" r="0" b="5080"/>
            <wp:docPr id="1" name="image1.jpeg" title="Seal of the Common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21607" cy="909447"/>
                    </a:xfrm>
                    <a:prstGeom prst="rect">
                      <a:avLst/>
                    </a:prstGeom>
                  </pic:spPr>
                </pic:pic>
              </a:graphicData>
            </a:graphic>
          </wp:inline>
        </w:drawing>
      </w:r>
    </w:p>
    <w:p w:rsidR="00923942" w:rsidRDefault="003C652F">
      <w:pPr>
        <w:pStyle w:val="BodyText"/>
        <w:spacing w:before="33"/>
        <w:ind w:left="2956" w:right="2875"/>
        <w:jc w:val="center"/>
        <w:rPr>
          <w:rFonts w:ascii="Copperplate Gothic Light"/>
        </w:rPr>
      </w:pPr>
      <w:r>
        <w:rPr>
          <w:rFonts w:ascii="Copperplate Gothic Light"/>
          <w:color w:val="00529F"/>
        </w:rPr>
        <w:t>Commonwealth of Virginia</w:t>
      </w:r>
    </w:p>
    <w:p w:rsidR="00923942" w:rsidRPr="00E47B28" w:rsidRDefault="003C652F" w:rsidP="00E47B28">
      <w:pPr>
        <w:spacing w:before="26"/>
        <w:ind w:left="2957" w:right="2875"/>
        <w:jc w:val="center"/>
        <w:rPr>
          <w:rFonts w:ascii="Times New Roman"/>
          <w:i/>
          <w:sz w:val="24"/>
        </w:rPr>
      </w:pPr>
      <w:r>
        <w:rPr>
          <w:rFonts w:ascii="Times New Roman"/>
          <w:i/>
          <w:color w:val="00529F"/>
          <w:sz w:val="24"/>
        </w:rPr>
        <w:t>Virginia Bo</w:t>
      </w:r>
      <w:r w:rsidR="00E47B28">
        <w:rPr>
          <w:rFonts w:ascii="Times New Roman"/>
          <w:i/>
          <w:color w:val="00529F"/>
          <w:sz w:val="24"/>
        </w:rPr>
        <w:t>ard for People with Disabilities</w:t>
      </w:r>
    </w:p>
    <w:p w:rsidR="00923942" w:rsidRDefault="00923942">
      <w:pPr>
        <w:pStyle w:val="BodyText"/>
        <w:spacing w:before="9"/>
        <w:rPr>
          <w:rFonts w:ascii="Times New Roman"/>
          <w:i/>
          <w:sz w:val="3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Caption w:val="Virginia Board for People with Disabilities"/>
      </w:tblPr>
      <w:tblGrid>
        <w:gridCol w:w="2508"/>
        <w:gridCol w:w="4530"/>
        <w:gridCol w:w="2865"/>
      </w:tblGrid>
      <w:tr w:rsidR="00E47B28" w:rsidTr="008919EE">
        <w:trPr>
          <w:trHeight w:val="180"/>
          <w:tblHeader/>
        </w:trPr>
        <w:tc>
          <w:tcPr>
            <w:tcW w:w="2508" w:type="dxa"/>
          </w:tcPr>
          <w:p w:rsidR="00E47B28" w:rsidRDefault="00E47B28" w:rsidP="008919EE">
            <w:pPr>
              <w:pStyle w:val="TableParagraph"/>
              <w:spacing w:line="179" w:lineRule="exact"/>
              <w:ind w:left="200"/>
              <w:rPr>
                <w:b/>
                <w:sz w:val="20"/>
              </w:rPr>
            </w:pPr>
            <w:r>
              <w:rPr>
                <w:b/>
                <w:color w:val="365F91"/>
                <w:sz w:val="20"/>
              </w:rPr>
              <w:t>Korinda Rusinyak</w:t>
            </w:r>
          </w:p>
        </w:tc>
        <w:tc>
          <w:tcPr>
            <w:tcW w:w="4530" w:type="dxa"/>
          </w:tcPr>
          <w:p w:rsidR="00E47B28" w:rsidRDefault="00E47B28" w:rsidP="008919EE">
            <w:pPr>
              <w:pStyle w:val="TableParagraph"/>
              <w:spacing w:line="179" w:lineRule="exact"/>
              <w:ind w:left="802" w:right="520"/>
              <w:jc w:val="center"/>
              <w:rPr>
                <w:i/>
                <w:sz w:val="20"/>
              </w:rPr>
            </w:pPr>
            <w:r>
              <w:rPr>
                <w:i/>
                <w:color w:val="365F91"/>
                <w:sz w:val="20"/>
              </w:rPr>
              <w:t>Washington Building, Capitol Square</w:t>
            </w:r>
          </w:p>
        </w:tc>
        <w:tc>
          <w:tcPr>
            <w:tcW w:w="2865" w:type="dxa"/>
          </w:tcPr>
          <w:p w:rsidR="00E47B28" w:rsidRDefault="00E47B28" w:rsidP="008919EE">
            <w:pPr>
              <w:pStyle w:val="TableParagraph"/>
              <w:spacing w:line="179" w:lineRule="exact"/>
              <w:ind w:right="199"/>
              <w:jc w:val="right"/>
              <w:rPr>
                <w:sz w:val="20"/>
              </w:rPr>
            </w:pPr>
            <w:r>
              <w:rPr>
                <w:color w:val="365F91"/>
                <w:sz w:val="20"/>
              </w:rPr>
              <w:t>804-786-0016 (TTY/Voice)</w:t>
            </w:r>
          </w:p>
        </w:tc>
      </w:tr>
      <w:tr w:rsidR="00E47B28" w:rsidTr="008919EE">
        <w:trPr>
          <w:trHeight w:val="200"/>
        </w:trPr>
        <w:tc>
          <w:tcPr>
            <w:tcW w:w="2508" w:type="dxa"/>
          </w:tcPr>
          <w:p w:rsidR="00E47B28" w:rsidRDefault="00E47B28" w:rsidP="008919EE">
            <w:pPr>
              <w:pStyle w:val="TableParagraph"/>
              <w:ind w:left="200"/>
              <w:rPr>
                <w:i/>
                <w:sz w:val="20"/>
              </w:rPr>
            </w:pPr>
            <w:r>
              <w:rPr>
                <w:i/>
                <w:color w:val="365F91"/>
                <w:sz w:val="20"/>
              </w:rPr>
              <w:t>Chair</w:t>
            </w:r>
          </w:p>
        </w:tc>
        <w:tc>
          <w:tcPr>
            <w:tcW w:w="4530" w:type="dxa"/>
          </w:tcPr>
          <w:p w:rsidR="00E47B28" w:rsidRDefault="00E47B28" w:rsidP="008919EE">
            <w:pPr>
              <w:pStyle w:val="TableParagraph"/>
              <w:ind w:left="802" w:right="515"/>
              <w:jc w:val="center"/>
              <w:rPr>
                <w:i/>
                <w:sz w:val="20"/>
              </w:rPr>
            </w:pPr>
            <w:r>
              <w:rPr>
                <w:i/>
                <w:color w:val="365F91"/>
                <w:sz w:val="20"/>
              </w:rPr>
              <w:t>1100 Bank Street, 7th Floor</w:t>
            </w:r>
          </w:p>
        </w:tc>
        <w:tc>
          <w:tcPr>
            <w:tcW w:w="2865" w:type="dxa"/>
          </w:tcPr>
          <w:p w:rsidR="00E47B28" w:rsidRDefault="00E47B28" w:rsidP="008919EE">
            <w:pPr>
              <w:pStyle w:val="TableParagraph"/>
              <w:ind w:right="198"/>
              <w:jc w:val="right"/>
              <w:rPr>
                <w:sz w:val="20"/>
              </w:rPr>
            </w:pPr>
            <w:r>
              <w:rPr>
                <w:color w:val="365F91"/>
                <w:sz w:val="20"/>
              </w:rPr>
              <w:t>1-800-846-4464 (TTY/ Voice)</w:t>
            </w:r>
          </w:p>
        </w:tc>
      </w:tr>
      <w:tr w:rsidR="00E47B28" w:rsidTr="008919EE">
        <w:trPr>
          <w:trHeight w:val="200"/>
        </w:trPr>
        <w:tc>
          <w:tcPr>
            <w:tcW w:w="2508" w:type="dxa"/>
          </w:tcPr>
          <w:p w:rsidR="00E47B28" w:rsidRDefault="00E47B28" w:rsidP="008919EE">
            <w:pPr>
              <w:pStyle w:val="TableParagraph"/>
              <w:ind w:left="200"/>
              <w:rPr>
                <w:b/>
                <w:sz w:val="20"/>
              </w:rPr>
            </w:pPr>
            <w:r>
              <w:rPr>
                <w:b/>
                <w:color w:val="365F91"/>
                <w:sz w:val="20"/>
              </w:rPr>
              <w:t>Charles Meacham</w:t>
            </w:r>
          </w:p>
        </w:tc>
        <w:tc>
          <w:tcPr>
            <w:tcW w:w="4530" w:type="dxa"/>
          </w:tcPr>
          <w:p w:rsidR="00E47B28" w:rsidRDefault="00E47B28" w:rsidP="008919EE">
            <w:pPr>
              <w:pStyle w:val="TableParagraph"/>
              <w:ind w:left="801" w:right="520"/>
              <w:jc w:val="center"/>
              <w:rPr>
                <w:i/>
                <w:sz w:val="20"/>
              </w:rPr>
            </w:pPr>
            <w:r>
              <w:rPr>
                <w:i/>
                <w:color w:val="365F91"/>
                <w:sz w:val="20"/>
              </w:rPr>
              <w:t>Richmond, Virginia 23219</w:t>
            </w:r>
          </w:p>
        </w:tc>
        <w:tc>
          <w:tcPr>
            <w:tcW w:w="2865" w:type="dxa"/>
          </w:tcPr>
          <w:p w:rsidR="00E47B28" w:rsidRDefault="00E47B28" w:rsidP="008919EE">
            <w:pPr>
              <w:pStyle w:val="TableParagraph"/>
              <w:ind w:right="198"/>
              <w:jc w:val="right"/>
              <w:rPr>
                <w:sz w:val="20"/>
              </w:rPr>
            </w:pPr>
            <w:r>
              <w:rPr>
                <w:color w:val="365F91"/>
                <w:sz w:val="20"/>
              </w:rPr>
              <w:t>804-786-1118 (Fax)</w:t>
            </w:r>
          </w:p>
        </w:tc>
      </w:tr>
      <w:tr w:rsidR="00E47B28" w:rsidTr="008919EE">
        <w:trPr>
          <w:trHeight w:val="180"/>
        </w:trPr>
        <w:tc>
          <w:tcPr>
            <w:tcW w:w="2508" w:type="dxa"/>
          </w:tcPr>
          <w:p w:rsidR="00E47B28" w:rsidRDefault="00E47B28" w:rsidP="008919EE">
            <w:pPr>
              <w:pStyle w:val="TableParagraph"/>
              <w:spacing w:line="179" w:lineRule="exact"/>
              <w:ind w:left="200"/>
              <w:rPr>
                <w:i/>
                <w:sz w:val="20"/>
              </w:rPr>
            </w:pPr>
            <w:r>
              <w:rPr>
                <w:i/>
                <w:color w:val="365F91"/>
                <w:sz w:val="20"/>
              </w:rPr>
              <w:t>Vice Chair</w:t>
            </w:r>
          </w:p>
        </w:tc>
        <w:tc>
          <w:tcPr>
            <w:tcW w:w="4530" w:type="dxa"/>
          </w:tcPr>
          <w:p w:rsidR="00E47B28" w:rsidRDefault="00E47B28" w:rsidP="008919EE">
            <w:pPr>
              <w:pStyle w:val="TableParagraph"/>
              <w:spacing w:line="240" w:lineRule="auto"/>
              <w:rPr>
                <w:rFonts w:ascii="Times New Roman"/>
                <w:sz w:val="12"/>
              </w:rPr>
            </w:pPr>
          </w:p>
        </w:tc>
        <w:tc>
          <w:tcPr>
            <w:tcW w:w="2865" w:type="dxa"/>
          </w:tcPr>
          <w:p w:rsidR="00E47B28" w:rsidRDefault="00E47B28" w:rsidP="008919EE">
            <w:pPr>
              <w:pStyle w:val="TableParagraph"/>
              <w:spacing w:line="179" w:lineRule="exact"/>
              <w:ind w:right="199"/>
              <w:jc w:val="right"/>
              <w:rPr>
                <w:sz w:val="20"/>
              </w:rPr>
            </w:pPr>
            <w:hyperlink r:id="rId9">
              <w:r>
                <w:rPr>
                  <w:color w:val="365F91"/>
                  <w:sz w:val="20"/>
                </w:rPr>
                <w:t>info@vbpd.virginia.gov</w:t>
              </w:r>
            </w:hyperlink>
          </w:p>
        </w:tc>
      </w:tr>
      <w:tr w:rsidR="00E47B28" w:rsidTr="008919EE">
        <w:trPr>
          <w:trHeight w:val="200"/>
        </w:trPr>
        <w:tc>
          <w:tcPr>
            <w:tcW w:w="2508" w:type="dxa"/>
          </w:tcPr>
          <w:p w:rsidR="00E47B28" w:rsidRDefault="00E47B28" w:rsidP="008919EE">
            <w:pPr>
              <w:pStyle w:val="TableParagraph"/>
              <w:ind w:left="200"/>
              <w:rPr>
                <w:b/>
                <w:sz w:val="20"/>
              </w:rPr>
            </w:pPr>
            <w:r>
              <w:rPr>
                <w:b/>
                <w:color w:val="365F91"/>
                <w:sz w:val="20"/>
              </w:rPr>
              <w:t>Dennis Manning</w:t>
            </w:r>
          </w:p>
        </w:tc>
        <w:tc>
          <w:tcPr>
            <w:tcW w:w="4530" w:type="dxa"/>
          </w:tcPr>
          <w:p w:rsidR="00E47B28" w:rsidRDefault="00E47B28" w:rsidP="008919EE">
            <w:pPr>
              <w:pStyle w:val="TableParagraph"/>
              <w:spacing w:line="240" w:lineRule="auto"/>
              <w:rPr>
                <w:rFonts w:ascii="Times New Roman"/>
                <w:sz w:val="12"/>
              </w:rPr>
            </w:pPr>
          </w:p>
        </w:tc>
        <w:tc>
          <w:tcPr>
            <w:tcW w:w="2865" w:type="dxa"/>
          </w:tcPr>
          <w:p w:rsidR="00E47B28" w:rsidRDefault="00E47B28" w:rsidP="008919EE">
            <w:pPr>
              <w:pStyle w:val="TableParagraph"/>
              <w:ind w:right="199"/>
              <w:jc w:val="right"/>
              <w:rPr>
                <w:sz w:val="20"/>
              </w:rPr>
            </w:pPr>
            <w:hyperlink r:id="rId10">
              <w:r>
                <w:rPr>
                  <w:color w:val="365F91"/>
                  <w:sz w:val="20"/>
                </w:rPr>
                <w:t>Website: www.vaboard.org</w:t>
              </w:r>
            </w:hyperlink>
          </w:p>
        </w:tc>
      </w:tr>
      <w:tr w:rsidR="00E47B28" w:rsidTr="008919EE">
        <w:trPr>
          <w:trHeight w:val="200"/>
        </w:trPr>
        <w:tc>
          <w:tcPr>
            <w:tcW w:w="2508" w:type="dxa"/>
          </w:tcPr>
          <w:p w:rsidR="00E47B28" w:rsidRDefault="00E47B28" w:rsidP="008919EE">
            <w:pPr>
              <w:pStyle w:val="TableParagraph"/>
              <w:ind w:left="200"/>
              <w:rPr>
                <w:i/>
                <w:sz w:val="20"/>
              </w:rPr>
            </w:pPr>
            <w:r>
              <w:rPr>
                <w:i/>
                <w:color w:val="365F91"/>
                <w:sz w:val="20"/>
              </w:rPr>
              <w:t>Secretary</w:t>
            </w:r>
          </w:p>
        </w:tc>
        <w:tc>
          <w:tcPr>
            <w:tcW w:w="4530" w:type="dxa"/>
          </w:tcPr>
          <w:p w:rsidR="00E47B28" w:rsidRDefault="00E47B28" w:rsidP="008919EE">
            <w:pPr>
              <w:pStyle w:val="TableParagraph"/>
              <w:spacing w:line="240" w:lineRule="auto"/>
              <w:rPr>
                <w:rFonts w:ascii="Times New Roman"/>
                <w:sz w:val="12"/>
              </w:rPr>
            </w:pPr>
          </w:p>
        </w:tc>
        <w:tc>
          <w:tcPr>
            <w:tcW w:w="2865" w:type="dxa"/>
          </w:tcPr>
          <w:p w:rsidR="00E47B28" w:rsidRDefault="00E47B28" w:rsidP="008919EE">
            <w:pPr>
              <w:pStyle w:val="TableParagraph"/>
              <w:spacing w:line="240" w:lineRule="auto"/>
              <w:rPr>
                <w:rFonts w:ascii="Times New Roman"/>
                <w:sz w:val="12"/>
              </w:rPr>
            </w:pPr>
          </w:p>
        </w:tc>
      </w:tr>
      <w:tr w:rsidR="00E47B28" w:rsidTr="008919EE">
        <w:trPr>
          <w:trHeight w:val="180"/>
        </w:trPr>
        <w:tc>
          <w:tcPr>
            <w:tcW w:w="2508" w:type="dxa"/>
          </w:tcPr>
          <w:p w:rsidR="00E47B28" w:rsidRDefault="00E47B28" w:rsidP="008919EE">
            <w:pPr>
              <w:pStyle w:val="TableParagraph"/>
              <w:ind w:left="200"/>
              <w:rPr>
                <w:b/>
                <w:sz w:val="20"/>
              </w:rPr>
            </w:pPr>
            <w:r>
              <w:rPr>
                <w:b/>
                <w:color w:val="365F91"/>
                <w:sz w:val="20"/>
              </w:rPr>
              <w:t>Heidi L. Lawyer</w:t>
            </w:r>
          </w:p>
        </w:tc>
        <w:tc>
          <w:tcPr>
            <w:tcW w:w="4530" w:type="dxa"/>
          </w:tcPr>
          <w:p w:rsidR="00E47B28" w:rsidRDefault="00E47B28" w:rsidP="008919EE">
            <w:pPr>
              <w:pStyle w:val="TableParagraph"/>
              <w:spacing w:line="240" w:lineRule="auto"/>
              <w:rPr>
                <w:rFonts w:ascii="Times New Roman"/>
                <w:sz w:val="12"/>
              </w:rPr>
            </w:pPr>
          </w:p>
        </w:tc>
        <w:tc>
          <w:tcPr>
            <w:tcW w:w="2865" w:type="dxa"/>
          </w:tcPr>
          <w:p w:rsidR="00E47B28" w:rsidRDefault="00E47B28" w:rsidP="008919EE">
            <w:pPr>
              <w:pStyle w:val="TableParagraph"/>
              <w:spacing w:line="240" w:lineRule="auto"/>
              <w:rPr>
                <w:rFonts w:ascii="Times New Roman"/>
                <w:sz w:val="12"/>
              </w:rPr>
            </w:pPr>
          </w:p>
        </w:tc>
      </w:tr>
      <w:tr w:rsidR="00E47B28" w:rsidTr="008919EE">
        <w:trPr>
          <w:trHeight w:val="180"/>
        </w:trPr>
        <w:tc>
          <w:tcPr>
            <w:tcW w:w="2508" w:type="dxa"/>
          </w:tcPr>
          <w:p w:rsidR="00E47B28" w:rsidRDefault="00E47B28" w:rsidP="008919EE">
            <w:pPr>
              <w:pStyle w:val="TableParagraph"/>
              <w:ind w:left="200"/>
              <w:rPr>
                <w:i/>
                <w:sz w:val="20"/>
              </w:rPr>
            </w:pPr>
            <w:r>
              <w:rPr>
                <w:i/>
                <w:color w:val="365F91"/>
                <w:sz w:val="20"/>
              </w:rPr>
              <w:t>Executive Director</w:t>
            </w:r>
          </w:p>
        </w:tc>
        <w:tc>
          <w:tcPr>
            <w:tcW w:w="4530" w:type="dxa"/>
          </w:tcPr>
          <w:p w:rsidR="00E47B28" w:rsidRDefault="00E47B28" w:rsidP="008919EE">
            <w:pPr>
              <w:pStyle w:val="TableParagraph"/>
              <w:spacing w:line="240" w:lineRule="auto"/>
              <w:rPr>
                <w:rFonts w:ascii="Times New Roman"/>
                <w:sz w:val="12"/>
              </w:rPr>
            </w:pPr>
          </w:p>
        </w:tc>
        <w:tc>
          <w:tcPr>
            <w:tcW w:w="2865" w:type="dxa"/>
          </w:tcPr>
          <w:p w:rsidR="00E47B28" w:rsidRDefault="00E47B28" w:rsidP="008919EE">
            <w:pPr>
              <w:pStyle w:val="TableParagraph"/>
              <w:spacing w:line="240" w:lineRule="auto"/>
              <w:rPr>
                <w:rFonts w:ascii="Times New Roman"/>
                <w:sz w:val="12"/>
              </w:rPr>
            </w:pPr>
          </w:p>
        </w:tc>
      </w:tr>
    </w:tbl>
    <w:p w:rsidR="00923942" w:rsidRDefault="003C652F">
      <w:pPr>
        <w:pStyle w:val="BodyText"/>
        <w:tabs>
          <w:tab w:val="left" w:pos="920"/>
        </w:tabs>
        <w:spacing w:before="1" w:line="600" w:lineRule="atLeast"/>
        <w:ind w:left="200" w:right="4153" w:firstLine="4034"/>
      </w:pPr>
      <w:r>
        <w:t>January 13, 2015 TO:</w:t>
      </w:r>
      <w:r>
        <w:tab/>
        <w:t>Catherine Hancock, Director of Part C</w:t>
      </w:r>
      <w:r>
        <w:rPr>
          <w:spacing w:val="-18"/>
        </w:rPr>
        <w:t xml:space="preserve"> </w:t>
      </w:r>
      <w:r>
        <w:t>Services</w:t>
      </w:r>
    </w:p>
    <w:p w:rsidR="00923942" w:rsidRDefault="003C652F">
      <w:pPr>
        <w:pStyle w:val="BodyText"/>
        <w:spacing w:before="7"/>
        <w:ind w:left="200" w:right="3628" w:firstLine="719"/>
      </w:pPr>
      <w:r>
        <w:t xml:space="preserve">Dept. for Behavioral Health and Developmental Services </w:t>
      </w:r>
      <w:r>
        <w:rPr>
          <w:position w:val="1"/>
        </w:rPr>
        <w:t>FROM: Heidi L.</w:t>
      </w:r>
      <w:r>
        <w:rPr>
          <w:spacing w:val="-10"/>
          <w:position w:val="1"/>
        </w:rPr>
        <w:t xml:space="preserve"> </w:t>
      </w:r>
      <w:r>
        <w:rPr>
          <w:position w:val="1"/>
        </w:rPr>
        <w:t xml:space="preserve">Lawyer </w:t>
      </w:r>
      <w:r>
        <w:rPr>
          <w:noProof/>
          <w:spacing w:val="-25"/>
        </w:rPr>
        <w:drawing>
          <wp:inline distT="0" distB="0" distL="0" distR="0">
            <wp:extent cx="975194" cy="408051"/>
            <wp:effectExtent l="0" t="0" r="0" b="0"/>
            <wp:docPr id="3" name="image2.jpeg"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975194" cy="408051"/>
                    </a:xfrm>
                    <a:prstGeom prst="rect">
                      <a:avLst/>
                    </a:prstGeom>
                  </pic:spPr>
                </pic:pic>
              </a:graphicData>
            </a:graphic>
          </wp:inline>
        </w:drawing>
      </w:r>
    </w:p>
    <w:p w:rsidR="00923942" w:rsidRDefault="003C652F">
      <w:pPr>
        <w:pStyle w:val="BodyText"/>
        <w:tabs>
          <w:tab w:val="left" w:pos="920"/>
        </w:tabs>
        <w:spacing w:before="313"/>
        <w:ind w:left="200"/>
      </w:pPr>
      <w:r>
        <w:t>CC:</w:t>
      </w:r>
      <w:r>
        <w:tab/>
        <w:t>Connie Cochran, Assistant Commissioner,</w:t>
      </w:r>
      <w:r>
        <w:rPr>
          <w:spacing w:val="-23"/>
        </w:rPr>
        <w:t xml:space="preserve"> </w:t>
      </w:r>
      <w:r>
        <w:t>DBHDS</w:t>
      </w:r>
    </w:p>
    <w:p w:rsidR="00923942" w:rsidRDefault="00923942">
      <w:pPr>
        <w:pStyle w:val="BodyText"/>
        <w:spacing w:before="1"/>
        <w:rPr>
          <w:sz w:val="25"/>
        </w:rPr>
      </w:pPr>
    </w:p>
    <w:p w:rsidR="00923942" w:rsidRDefault="003C652F">
      <w:pPr>
        <w:tabs>
          <w:tab w:val="left" w:pos="920"/>
        </w:tabs>
        <w:spacing w:line="244" w:lineRule="auto"/>
        <w:ind w:left="920" w:right="257" w:hanging="720"/>
        <w:rPr>
          <w:i/>
          <w:sz w:val="24"/>
        </w:rPr>
      </w:pPr>
      <w:r>
        <w:rPr>
          <w:sz w:val="24"/>
        </w:rPr>
        <w:t>RE:</w:t>
      </w:r>
      <w:r>
        <w:rPr>
          <w:sz w:val="24"/>
        </w:rPr>
        <w:tab/>
      </w:r>
      <w:r>
        <w:rPr>
          <w:i/>
          <w:sz w:val="24"/>
        </w:rPr>
        <w:t>Emergency Regulation:  12VAC35-225, Requirements for Virginia’s Part C</w:t>
      </w:r>
      <w:r>
        <w:rPr>
          <w:i/>
          <w:spacing w:val="-21"/>
          <w:sz w:val="24"/>
        </w:rPr>
        <w:t xml:space="preserve"> </w:t>
      </w:r>
      <w:r>
        <w:rPr>
          <w:i/>
          <w:sz w:val="24"/>
        </w:rPr>
        <w:t>Early</w:t>
      </w:r>
      <w:r>
        <w:rPr>
          <w:i/>
          <w:spacing w:val="-2"/>
          <w:sz w:val="24"/>
        </w:rPr>
        <w:t xml:space="preserve"> </w:t>
      </w:r>
      <w:r>
        <w:rPr>
          <w:i/>
          <w:sz w:val="24"/>
        </w:rPr>
        <w:t>Intervention System</w:t>
      </w:r>
    </w:p>
    <w:p w:rsidR="00923942" w:rsidRDefault="00923942">
      <w:pPr>
        <w:pStyle w:val="BodyText"/>
        <w:spacing w:before="8"/>
        <w:rPr>
          <w:i/>
        </w:rPr>
      </w:pPr>
    </w:p>
    <w:p w:rsidR="00923942" w:rsidRDefault="003C652F">
      <w:pPr>
        <w:pStyle w:val="BodyText"/>
        <w:spacing w:line="244" w:lineRule="auto"/>
        <w:ind w:left="200" w:right="280" w:firstLine="719"/>
      </w:pPr>
      <w:r>
        <w:t>Thank you for the opportunity to provide public comment on this regulation on behalf of the Virginia Board for People with Disabilities, Virginia’s Developmen</w:t>
      </w:r>
      <w:r>
        <w:t>tal Disabilities Council. The Board supports the promulgation of this regulation designed to ensure that the Commonwealth is in compliance with federal requirements and that certain of its current policies and guidance will now have the force of law. The p</w:t>
      </w:r>
      <w:r>
        <w:t xml:space="preserve">roposed regulation is comprehensive and the Board’s comments </w:t>
      </w:r>
      <w:proofErr w:type="gramStart"/>
      <w:r>
        <w:t>are</w:t>
      </w:r>
      <w:proofErr w:type="gramEnd"/>
      <w:r>
        <w:t xml:space="preserve"> limited to the regulatory provisions listed below.</w:t>
      </w:r>
    </w:p>
    <w:p w:rsidR="00923942" w:rsidRDefault="00923942">
      <w:pPr>
        <w:pStyle w:val="BodyText"/>
        <w:spacing w:before="9"/>
        <w:rPr>
          <w:sz w:val="19"/>
        </w:rPr>
      </w:pPr>
    </w:p>
    <w:p w:rsidR="00923942" w:rsidRDefault="003C652F">
      <w:pPr>
        <w:pStyle w:val="Heading1"/>
        <w:spacing w:before="0"/>
        <w:ind w:left="200"/>
      </w:pPr>
      <w:r>
        <w:rPr>
          <w:u w:val="single"/>
        </w:rPr>
        <w:t>12VAC35-225-20-Definitions</w:t>
      </w:r>
    </w:p>
    <w:p w:rsidR="00923942" w:rsidRDefault="00923942">
      <w:pPr>
        <w:pStyle w:val="BodyText"/>
        <w:rPr>
          <w:b/>
          <w:sz w:val="16"/>
        </w:rPr>
      </w:pPr>
    </w:p>
    <w:p w:rsidR="00923942" w:rsidRDefault="003C652F">
      <w:pPr>
        <w:pStyle w:val="BodyText"/>
        <w:spacing w:before="51" w:line="244" w:lineRule="auto"/>
        <w:ind w:left="200" w:firstLine="719"/>
      </w:pPr>
      <w:proofErr w:type="gramStart"/>
      <w:r>
        <w:rPr>
          <w:b/>
        </w:rPr>
        <w:t>Consent.</w:t>
      </w:r>
      <w:proofErr w:type="gramEnd"/>
      <w:r>
        <w:rPr>
          <w:b/>
        </w:rPr>
        <w:t xml:space="preserve"> </w:t>
      </w:r>
      <w:r>
        <w:t>The Board recommends that a definition of “consent” be added to this section to ensure that it is unde</w:t>
      </w:r>
      <w:r>
        <w:t>rstood that consent means “</w:t>
      </w:r>
      <w:r>
        <w:rPr>
          <w:u w:val="single"/>
        </w:rPr>
        <w:t>informed</w:t>
      </w:r>
      <w:r>
        <w:t xml:space="preserve"> consent”. While parental consent is described in detail in section 12VAC35-225-320, it appears late in the regulation, and many references to parental consent are made prior to that section. Used throughout the document,</w:t>
      </w:r>
      <w:r>
        <w:t xml:space="preserve"> “consent” is discussed in reference to multiple, complex issues for which families are asked to</w:t>
      </w:r>
    </w:p>
    <w:p w:rsidR="00923942" w:rsidRDefault="003C652F">
      <w:pPr>
        <w:pStyle w:val="BodyText"/>
        <w:spacing w:line="244" w:lineRule="auto"/>
        <w:ind w:left="200" w:right="103"/>
      </w:pPr>
      <w:proofErr w:type="gramStart"/>
      <w:r>
        <w:t>make</w:t>
      </w:r>
      <w:proofErr w:type="gramEnd"/>
      <w:r>
        <w:t xml:space="preserve"> decisions, including, but not limited to, use of private insurance (12VAC-225-250). The federal Part C regulations include “consent” in its Definitions se</w:t>
      </w:r>
      <w:r>
        <w:t>ction; and adding it to Virginia’s regulations then is more consistent with federal regulations. The additional language describing the uses of and processes relating to consent could remain in 12VAC35-225-320. Federal regulation that defines “consent” fol</w:t>
      </w:r>
      <w:r>
        <w:t>lows.</w:t>
      </w:r>
    </w:p>
    <w:p w:rsidR="00923942" w:rsidRDefault="00923942">
      <w:pPr>
        <w:spacing w:line="244" w:lineRule="auto"/>
        <w:sectPr w:rsidR="00923942">
          <w:type w:val="continuous"/>
          <w:pgSz w:w="12240" w:h="15840"/>
          <w:pgMar w:top="600" w:right="960" w:bottom="280" w:left="1240" w:header="720" w:footer="720" w:gutter="0"/>
          <w:cols w:space="720"/>
        </w:sectPr>
      </w:pPr>
    </w:p>
    <w:p w:rsidR="00923942" w:rsidRDefault="00923942">
      <w:pPr>
        <w:pStyle w:val="BodyText"/>
        <w:spacing w:before="2"/>
        <w:rPr>
          <w:sz w:val="18"/>
        </w:rPr>
      </w:pPr>
    </w:p>
    <w:p w:rsidR="00923942" w:rsidRDefault="003C652F">
      <w:pPr>
        <w:pStyle w:val="Heading1"/>
        <w:ind w:left="1360"/>
      </w:pPr>
      <w:r>
        <w:t>CFR §303.7 Consent.</w:t>
      </w:r>
    </w:p>
    <w:p w:rsidR="00923942" w:rsidRDefault="003C652F">
      <w:pPr>
        <w:spacing w:before="198"/>
        <w:ind w:left="1360"/>
        <w:rPr>
          <w:sz w:val="24"/>
        </w:rPr>
      </w:pPr>
      <w:r>
        <w:rPr>
          <w:i/>
          <w:sz w:val="24"/>
        </w:rPr>
        <w:t xml:space="preserve">Consent </w:t>
      </w:r>
      <w:r>
        <w:rPr>
          <w:sz w:val="24"/>
        </w:rPr>
        <w:t>means that—</w:t>
      </w:r>
    </w:p>
    <w:p w:rsidR="00923942" w:rsidRDefault="003C652F">
      <w:pPr>
        <w:pStyle w:val="ListParagraph"/>
        <w:numPr>
          <w:ilvl w:val="0"/>
          <w:numId w:val="5"/>
        </w:numPr>
        <w:tabs>
          <w:tab w:val="left" w:pos="1675"/>
        </w:tabs>
        <w:ind w:right="160" w:hanging="271"/>
        <w:jc w:val="both"/>
        <w:rPr>
          <w:sz w:val="24"/>
        </w:rPr>
      </w:pPr>
      <w:r>
        <w:rPr>
          <w:sz w:val="24"/>
        </w:rPr>
        <w:t xml:space="preserve">The parent has been </w:t>
      </w:r>
      <w:r>
        <w:rPr>
          <w:sz w:val="24"/>
          <w:u w:val="single"/>
        </w:rPr>
        <w:t>fully informed</w:t>
      </w:r>
      <w:r>
        <w:rPr>
          <w:sz w:val="24"/>
        </w:rPr>
        <w:t xml:space="preserve"> [</w:t>
      </w:r>
      <w:r>
        <w:rPr>
          <w:i/>
          <w:sz w:val="24"/>
        </w:rPr>
        <w:t xml:space="preserve">emphasis added] </w:t>
      </w:r>
      <w:r>
        <w:rPr>
          <w:sz w:val="24"/>
        </w:rPr>
        <w:t>of all information relevant to the activity for which consent is sought, in the parent’s native language, as defined in</w:t>
      </w:r>
      <w:r>
        <w:rPr>
          <w:spacing w:val="-5"/>
          <w:sz w:val="24"/>
        </w:rPr>
        <w:t xml:space="preserve"> </w:t>
      </w:r>
      <w:r>
        <w:rPr>
          <w:sz w:val="24"/>
        </w:rPr>
        <w:t>§303.25;</w:t>
      </w:r>
    </w:p>
    <w:p w:rsidR="00923942" w:rsidRDefault="003C652F">
      <w:pPr>
        <w:pStyle w:val="ListParagraph"/>
        <w:numPr>
          <w:ilvl w:val="0"/>
          <w:numId w:val="5"/>
        </w:numPr>
        <w:tabs>
          <w:tab w:val="left" w:pos="1687"/>
        </w:tabs>
        <w:ind w:right="204" w:hanging="271"/>
        <w:rPr>
          <w:sz w:val="24"/>
        </w:rPr>
      </w:pPr>
      <w:r>
        <w:rPr>
          <w:sz w:val="24"/>
        </w:rPr>
        <w:t>The parent understands and agrees in writing to the carrying out of the activity</w:t>
      </w:r>
      <w:r>
        <w:rPr>
          <w:spacing w:val="-36"/>
          <w:sz w:val="24"/>
        </w:rPr>
        <w:t xml:space="preserve"> </w:t>
      </w:r>
      <w:r>
        <w:rPr>
          <w:sz w:val="24"/>
        </w:rPr>
        <w:t>for which the parent’s consent is sought, and the consent form describes that activity and lists the early intervention records (if any) that will be released and to whom they</w:t>
      </w:r>
      <w:r>
        <w:rPr>
          <w:sz w:val="24"/>
        </w:rPr>
        <w:t xml:space="preserve"> will be released;</w:t>
      </w:r>
      <w:r>
        <w:rPr>
          <w:spacing w:val="-11"/>
          <w:sz w:val="24"/>
        </w:rPr>
        <w:t xml:space="preserve"> </w:t>
      </w:r>
      <w:r>
        <w:rPr>
          <w:sz w:val="24"/>
        </w:rPr>
        <w:t>and</w:t>
      </w:r>
    </w:p>
    <w:p w:rsidR="00923942" w:rsidRDefault="003C652F">
      <w:pPr>
        <w:pStyle w:val="BodyText"/>
        <w:ind w:left="1631" w:hanging="272"/>
      </w:pPr>
      <w:r>
        <w:t>(c)(1) The parent understands that the granting of consent is voluntary on the part of the parent and may be revoked at any time.</w:t>
      </w:r>
    </w:p>
    <w:p w:rsidR="00923942" w:rsidRDefault="003C652F">
      <w:pPr>
        <w:pStyle w:val="BodyText"/>
        <w:ind w:left="1631" w:right="388" w:firstLine="2"/>
      </w:pPr>
      <w:r>
        <w:t>(2) If a parent revokes consent, that revocation is not retroactive (</w:t>
      </w:r>
      <w:r>
        <w:rPr>
          <w:i/>
        </w:rPr>
        <w:t xml:space="preserve">i.e., </w:t>
      </w:r>
      <w:r>
        <w:t>it does not apply to an acti</w:t>
      </w:r>
      <w:r>
        <w:t>on that occurred before the consent was revoked).</w:t>
      </w:r>
    </w:p>
    <w:p w:rsidR="00923942" w:rsidRDefault="003C652F">
      <w:pPr>
        <w:pStyle w:val="BodyText"/>
        <w:ind w:left="6581"/>
      </w:pPr>
      <w:r>
        <w:t>(Authority: 20 U.S.C. 1439)</w:t>
      </w:r>
    </w:p>
    <w:p w:rsidR="00923942" w:rsidRDefault="00923942">
      <w:pPr>
        <w:pStyle w:val="BodyText"/>
        <w:spacing w:before="4"/>
        <w:rPr>
          <w:sz w:val="25"/>
        </w:rPr>
      </w:pPr>
    </w:p>
    <w:p w:rsidR="00923942" w:rsidRDefault="003C652F">
      <w:pPr>
        <w:pStyle w:val="BodyText"/>
        <w:spacing w:line="261" w:lineRule="auto"/>
        <w:ind w:left="820" w:right="646" w:firstLine="720"/>
      </w:pPr>
      <w:proofErr w:type="gramStart"/>
      <w:r>
        <w:rPr>
          <w:b/>
        </w:rPr>
        <w:t>Prior Written Notice vs. Notice</w:t>
      </w:r>
      <w:r>
        <w:t>.</w:t>
      </w:r>
      <w:proofErr w:type="gramEnd"/>
      <w:r>
        <w:t xml:space="preserve"> The Board recommends addition of definitions differentiating “prior written notice” with “notice”. These terms have two different meanings which</w:t>
      </w:r>
      <w:r>
        <w:t xml:space="preserve"> could be confusing for parents trying to understand their rights. The</w:t>
      </w:r>
    </w:p>
    <w:p w:rsidR="00923942" w:rsidRDefault="003C652F">
      <w:pPr>
        <w:pStyle w:val="BodyText"/>
        <w:spacing w:line="261" w:lineRule="auto"/>
        <w:ind w:left="820" w:right="189"/>
      </w:pPr>
      <w:proofErr w:type="gramStart"/>
      <w:r>
        <w:t>explanation</w:t>
      </w:r>
      <w:proofErr w:type="gramEnd"/>
      <w:r>
        <w:t xml:space="preserve"> of prior written notice in 12VAC35-225-310 comes late in the regulation, after the term is used a number of times and the proposed definition, while consistent with, is not </w:t>
      </w:r>
      <w:r>
        <w:t>as detailed as the federal definition. The Board also recommends that the entire regulation be carefully reviewed to ensure that the proper term (notice vs. prior written notice) is being used in the various regulatory provisions. The related federal provi</w:t>
      </w:r>
      <w:r>
        <w:t>sions are below.</w:t>
      </w:r>
    </w:p>
    <w:p w:rsidR="00923942" w:rsidRDefault="003C652F">
      <w:pPr>
        <w:pStyle w:val="Heading1"/>
        <w:spacing w:before="202"/>
        <w:ind w:left="1360"/>
      </w:pPr>
      <w:proofErr w:type="gramStart"/>
      <w:r>
        <w:t>CFR §303.421.</w:t>
      </w:r>
      <w:proofErr w:type="gramEnd"/>
      <w:r>
        <w:t xml:space="preserve"> </w:t>
      </w:r>
      <w:proofErr w:type="gramStart"/>
      <w:r>
        <w:t>Prior written notice and procedural safeguards notice.</w:t>
      </w:r>
      <w:proofErr w:type="gramEnd"/>
    </w:p>
    <w:p w:rsidR="00923942" w:rsidRDefault="003C652F">
      <w:pPr>
        <w:pStyle w:val="ListParagraph"/>
        <w:numPr>
          <w:ilvl w:val="0"/>
          <w:numId w:val="4"/>
        </w:numPr>
        <w:tabs>
          <w:tab w:val="left" w:pos="1675"/>
        </w:tabs>
        <w:spacing w:before="196"/>
        <w:ind w:right="115" w:hanging="180"/>
        <w:rPr>
          <w:sz w:val="24"/>
        </w:rPr>
      </w:pPr>
      <w:r>
        <w:rPr>
          <w:i/>
          <w:sz w:val="24"/>
        </w:rPr>
        <w:t xml:space="preserve">General. </w:t>
      </w:r>
      <w:r>
        <w:rPr>
          <w:sz w:val="24"/>
        </w:rPr>
        <w:t>Prior written notice must be provided to parents a reasonable time before the lead agency or an EIS provider proposes, or refuses, to initiate or change the iden</w:t>
      </w:r>
      <w:r>
        <w:rPr>
          <w:sz w:val="24"/>
        </w:rPr>
        <w:t>tification, evaluation, or placement of their infant or toddler, or the provision of early intervention services to the infant or toddler with a disability and that infant’s or toddler’s</w:t>
      </w:r>
      <w:r>
        <w:rPr>
          <w:spacing w:val="-4"/>
          <w:sz w:val="24"/>
        </w:rPr>
        <w:t xml:space="preserve"> </w:t>
      </w:r>
      <w:r>
        <w:rPr>
          <w:sz w:val="24"/>
        </w:rPr>
        <w:t>family.</w:t>
      </w:r>
    </w:p>
    <w:p w:rsidR="00923942" w:rsidRDefault="003C652F">
      <w:pPr>
        <w:pStyle w:val="ListParagraph"/>
        <w:numPr>
          <w:ilvl w:val="0"/>
          <w:numId w:val="4"/>
        </w:numPr>
        <w:tabs>
          <w:tab w:val="left" w:pos="1687"/>
        </w:tabs>
        <w:ind w:left="1686" w:hanging="326"/>
        <w:rPr>
          <w:sz w:val="24"/>
        </w:rPr>
      </w:pPr>
      <w:r>
        <w:rPr>
          <w:i/>
          <w:sz w:val="24"/>
        </w:rPr>
        <w:t xml:space="preserve">Content of notice. </w:t>
      </w:r>
      <w:r>
        <w:rPr>
          <w:sz w:val="24"/>
        </w:rPr>
        <w:t>The notice must be in sufficient detail to inform parents</w:t>
      </w:r>
      <w:r>
        <w:rPr>
          <w:spacing w:val="-29"/>
          <w:sz w:val="24"/>
        </w:rPr>
        <w:t xml:space="preserve"> </w:t>
      </w:r>
      <w:r>
        <w:rPr>
          <w:sz w:val="24"/>
        </w:rPr>
        <w:t>about:</w:t>
      </w:r>
    </w:p>
    <w:p w:rsidR="00923942" w:rsidRDefault="003C652F">
      <w:pPr>
        <w:pStyle w:val="ListParagraph"/>
        <w:numPr>
          <w:ilvl w:val="1"/>
          <w:numId w:val="4"/>
        </w:numPr>
        <w:tabs>
          <w:tab w:val="left" w:pos="2222"/>
        </w:tabs>
        <w:ind w:hanging="271"/>
        <w:rPr>
          <w:sz w:val="24"/>
        </w:rPr>
      </w:pPr>
      <w:r>
        <w:rPr>
          <w:sz w:val="24"/>
        </w:rPr>
        <w:t>The action that is being proposed or</w:t>
      </w:r>
      <w:r>
        <w:rPr>
          <w:spacing w:val="-17"/>
          <w:sz w:val="24"/>
        </w:rPr>
        <w:t xml:space="preserve"> </w:t>
      </w:r>
      <w:r>
        <w:rPr>
          <w:sz w:val="24"/>
        </w:rPr>
        <w:t>refused;</w:t>
      </w:r>
    </w:p>
    <w:p w:rsidR="00923942" w:rsidRDefault="003C652F">
      <w:pPr>
        <w:pStyle w:val="ListParagraph"/>
        <w:numPr>
          <w:ilvl w:val="1"/>
          <w:numId w:val="4"/>
        </w:numPr>
        <w:tabs>
          <w:tab w:val="left" w:pos="2222"/>
        </w:tabs>
        <w:ind w:hanging="271"/>
        <w:rPr>
          <w:sz w:val="24"/>
        </w:rPr>
      </w:pPr>
      <w:r>
        <w:rPr>
          <w:sz w:val="24"/>
        </w:rPr>
        <w:t>The reasons for taking the action;</w:t>
      </w:r>
      <w:r>
        <w:rPr>
          <w:spacing w:val="-16"/>
          <w:sz w:val="24"/>
        </w:rPr>
        <w:t xml:space="preserve"> </w:t>
      </w:r>
      <w:r>
        <w:rPr>
          <w:sz w:val="24"/>
        </w:rPr>
        <w:t>and</w:t>
      </w:r>
    </w:p>
    <w:p w:rsidR="00923942" w:rsidRDefault="003C652F">
      <w:pPr>
        <w:pStyle w:val="ListParagraph"/>
        <w:numPr>
          <w:ilvl w:val="1"/>
          <w:numId w:val="4"/>
        </w:numPr>
        <w:tabs>
          <w:tab w:val="left" w:pos="2222"/>
        </w:tabs>
        <w:ind w:right="455" w:hanging="271"/>
        <w:rPr>
          <w:sz w:val="24"/>
        </w:rPr>
      </w:pPr>
      <w:r>
        <w:rPr>
          <w:sz w:val="24"/>
        </w:rPr>
        <w:t>All procedural safeguards that are available under this subpart, including</w:t>
      </w:r>
      <w:r>
        <w:rPr>
          <w:spacing w:val="-32"/>
          <w:sz w:val="24"/>
        </w:rPr>
        <w:t xml:space="preserve"> </w:t>
      </w:r>
      <w:r>
        <w:rPr>
          <w:sz w:val="24"/>
        </w:rPr>
        <w:t>a description of mediation in §</w:t>
      </w:r>
      <w:r>
        <w:rPr>
          <w:sz w:val="24"/>
        </w:rPr>
        <w:t>303.431, how to file a State complaint</w:t>
      </w:r>
      <w:r>
        <w:rPr>
          <w:spacing w:val="-30"/>
          <w:sz w:val="24"/>
        </w:rPr>
        <w:t xml:space="preserve"> </w:t>
      </w:r>
      <w:r>
        <w:rPr>
          <w:sz w:val="24"/>
        </w:rPr>
        <w:t>in</w:t>
      </w:r>
    </w:p>
    <w:p w:rsidR="00923942" w:rsidRDefault="003C652F">
      <w:pPr>
        <w:pStyle w:val="BodyText"/>
        <w:ind w:left="2171" w:right="506"/>
      </w:pPr>
      <w:proofErr w:type="gramStart"/>
      <w:r>
        <w:t>§§303.432 through 303.434 and a due process complaint in the provisions adopted under §303.430(d), and any timelines under those procedures.</w:t>
      </w:r>
      <w:proofErr w:type="gramEnd"/>
    </w:p>
    <w:p w:rsidR="00923942" w:rsidRDefault="003C652F">
      <w:pPr>
        <w:pStyle w:val="ListParagraph"/>
        <w:numPr>
          <w:ilvl w:val="0"/>
          <w:numId w:val="4"/>
        </w:numPr>
        <w:tabs>
          <w:tab w:val="left" w:pos="1661"/>
        </w:tabs>
        <w:spacing w:line="293" w:lineRule="exact"/>
        <w:ind w:left="1660" w:hanging="300"/>
        <w:rPr>
          <w:sz w:val="24"/>
        </w:rPr>
      </w:pPr>
      <w:r>
        <w:rPr>
          <w:i/>
          <w:sz w:val="24"/>
        </w:rPr>
        <w:t xml:space="preserve">Native language. </w:t>
      </w:r>
      <w:r>
        <w:rPr>
          <w:sz w:val="24"/>
        </w:rPr>
        <w:t>(1) The notice must</w:t>
      </w:r>
      <w:r>
        <w:rPr>
          <w:spacing w:val="-8"/>
          <w:sz w:val="24"/>
        </w:rPr>
        <w:t xml:space="preserve"> </w:t>
      </w:r>
      <w:r>
        <w:rPr>
          <w:sz w:val="24"/>
        </w:rPr>
        <w:t>be:</w:t>
      </w:r>
    </w:p>
    <w:p w:rsidR="00923942" w:rsidRDefault="003C652F">
      <w:pPr>
        <w:pStyle w:val="ListParagraph"/>
        <w:numPr>
          <w:ilvl w:val="0"/>
          <w:numId w:val="3"/>
        </w:numPr>
        <w:tabs>
          <w:tab w:val="left" w:pos="2155"/>
        </w:tabs>
        <w:ind w:hanging="180"/>
        <w:rPr>
          <w:sz w:val="24"/>
        </w:rPr>
      </w:pPr>
      <w:r>
        <w:rPr>
          <w:sz w:val="24"/>
        </w:rPr>
        <w:t>Written in language understandab</w:t>
      </w:r>
      <w:r>
        <w:rPr>
          <w:sz w:val="24"/>
        </w:rPr>
        <w:t>le to the general public;</w:t>
      </w:r>
      <w:r>
        <w:rPr>
          <w:spacing w:val="-29"/>
          <w:sz w:val="24"/>
        </w:rPr>
        <w:t xml:space="preserve"> </w:t>
      </w:r>
      <w:r>
        <w:rPr>
          <w:sz w:val="24"/>
        </w:rPr>
        <w:t>and</w:t>
      </w:r>
    </w:p>
    <w:p w:rsidR="00923942" w:rsidRDefault="00923942">
      <w:pPr>
        <w:rPr>
          <w:sz w:val="24"/>
        </w:rPr>
        <w:sectPr w:rsidR="00923942">
          <w:headerReference w:type="default" r:id="rId12"/>
          <w:footerReference w:type="default" r:id="rId13"/>
          <w:pgSz w:w="12240" w:h="15840"/>
          <w:pgMar w:top="1600" w:right="980" w:bottom="840" w:left="1340" w:header="775" w:footer="648" w:gutter="0"/>
          <w:pgNumType w:start="2"/>
          <w:cols w:space="720"/>
        </w:sectPr>
      </w:pPr>
    </w:p>
    <w:p w:rsidR="00923942" w:rsidRDefault="00923942">
      <w:pPr>
        <w:pStyle w:val="BodyText"/>
        <w:spacing w:before="10"/>
        <w:rPr>
          <w:sz w:val="15"/>
        </w:rPr>
      </w:pPr>
    </w:p>
    <w:p w:rsidR="00923942" w:rsidRDefault="003C652F">
      <w:pPr>
        <w:pStyle w:val="ListParagraph"/>
        <w:numPr>
          <w:ilvl w:val="0"/>
          <w:numId w:val="3"/>
        </w:numPr>
        <w:tabs>
          <w:tab w:val="left" w:pos="2210"/>
        </w:tabs>
        <w:spacing w:before="51"/>
        <w:ind w:right="193" w:hanging="180"/>
        <w:rPr>
          <w:sz w:val="24"/>
        </w:rPr>
      </w:pPr>
      <w:r>
        <w:rPr>
          <w:sz w:val="24"/>
        </w:rPr>
        <w:t>Provided in the native language, as defined in §303.25, of the parent or other mode of communication used by the parent, unless it is clearly not feasible to do</w:t>
      </w:r>
      <w:r>
        <w:rPr>
          <w:spacing w:val="-2"/>
          <w:sz w:val="24"/>
        </w:rPr>
        <w:t xml:space="preserve"> </w:t>
      </w:r>
      <w:r>
        <w:rPr>
          <w:sz w:val="24"/>
        </w:rPr>
        <w:t>so.</w:t>
      </w:r>
    </w:p>
    <w:p w:rsidR="00923942" w:rsidRDefault="003C652F">
      <w:pPr>
        <w:pStyle w:val="ListParagraph"/>
        <w:numPr>
          <w:ilvl w:val="0"/>
          <w:numId w:val="2"/>
        </w:numPr>
        <w:tabs>
          <w:tab w:val="left" w:pos="2009"/>
        </w:tabs>
        <w:ind w:right="348" w:hanging="214"/>
        <w:jc w:val="both"/>
        <w:rPr>
          <w:sz w:val="24"/>
        </w:rPr>
      </w:pPr>
      <w:r>
        <w:rPr>
          <w:sz w:val="24"/>
        </w:rPr>
        <w:t xml:space="preserve">If the native language or other mode of communication of the parent </w:t>
      </w:r>
      <w:r>
        <w:rPr>
          <w:sz w:val="24"/>
        </w:rPr>
        <w:t>is not a written language, the public agency or designated EIS provider must take steps to ensure</w:t>
      </w:r>
      <w:r>
        <w:rPr>
          <w:spacing w:val="-6"/>
          <w:sz w:val="24"/>
        </w:rPr>
        <w:t xml:space="preserve"> </w:t>
      </w:r>
      <w:r>
        <w:rPr>
          <w:sz w:val="24"/>
        </w:rPr>
        <w:t>that:</w:t>
      </w:r>
    </w:p>
    <w:p w:rsidR="00923942" w:rsidRDefault="003C652F">
      <w:pPr>
        <w:pStyle w:val="ListParagraph"/>
        <w:numPr>
          <w:ilvl w:val="1"/>
          <w:numId w:val="2"/>
        </w:numPr>
        <w:tabs>
          <w:tab w:val="left" w:pos="2155"/>
        </w:tabs>
        <w:ind w:right="235" w:hanging="180"/>
        <w:rPr>
          <w:sz w:val="24"/>
        </w:rPr>
      </w:pPr>
      <w:r>
        <w:rPr>
          <w:sz w:val="24"/>
        </w:rPr>
        <w:t>The notice is translated orally or by other means to the parent in the parent’s native language or other mode of</w:t>
      </w:r>
      <w:r>
        <w:rPr>
          <w:spacing w:val="-17"/>
          <w:sz w:val="24"/>
        </w:rPr>
        <w:t xml:space="preserve"> </w:t>
      </w:r>
      <w:r>
        <w:rPr>
          <w:sz w:val="24"/>
        </w:rPr>
        <w:t>communication;</w:t>
      </w:r>
    </w:p>
    <w:p w:rsidR="00923942" w:rsidRDefault="003C652F">
      <w:pPr>
        <w:pStyle w:val="ListParagraph"/>
        <w:numPr>
          <w:ilvl w:val="1"/>
          <w:numId w:val="2"/>
        </w:numPr>
        <w:tabs>
          <w:tab w:val="left" w:pos="2210"/>
        </w:tabs>
        <w:spacing w:before="1"/>
        <w:ind w:left="2209" w:hanging="309"/>
        <w:rPr>
          <w:sz w:val="24"/>
        </w:rPr>
      </w:pPr>
      <w:r>
        <w:rPr>
          <w:sz w:val="24"/>
        </w:rPr>
        <w:t>The parent understands t</w:t>
      </w:r>
      <w:r>
        <w:rPr>
          <w:sz w:val="24"/>
        </w:rPr>
        <w:t>he notice;</w:t>
      </w:r>
      <w:r>
        <w:rPr>
          <w:spacing w:val="-17"/>
          <w:sz w:val="24"/>
        </w:rPr>
        <w:t xml:space="preserve"> </w:t>
      </w:r>
      <w:r>
        <w:rPr>
          <w:sz w:val="24"/>
        </w:rPr>
        <w:t>and</w:t>
      </w:r>
    </w:p>
    <w:p w:rsidR="00923942" w:rsidRDefault="003C652F">
      <w:pPr>
        <w:pStyle w:val="ListParagraph"/>
        <w:numPr>
          <w:ilvl w:val="1"/>
          <w:numId w:val="2"/>
        </w:numPr>
        <w:tabs>
          <w:tab w:val="left" w:pos="2266"/>
        </w:tabs>
        <w:ind w:right="200" w:hanging="180"/>
        <w:rPr>
          <w:sz w:val="24"/>
        </w:rPr>
      </w:pPr>
      <w:r>
        <w:rPr>
          <w:sz w:val="24"/>
        </w:rPr>
        <w:t>There is written evidence that the requirements of this paragraph have</w:t>
      </w:r>
      <w:r>
        <w:rPr>
          <w:spacing w:val="-28"/>
          <w:sz w:val="24"/>
        </w:rPr>
        <w:t xml:space="preserve"> </w:t>
      </w:r>
      <w:r>
        <w:rPr>
          <w:sz w:val="24"/>
        </w:rPr>
        <w:t>been met.</w:t>
      </w:r>
    </w:p>
    <w:p w:rsidR="00923942" w:rsidRDefault="003C652F">
      <w:pPr>
        <w:pStyle w:val="BodyText"/>
        <w:spacing w:line="292" w:lineRule="exact"/>
        <w:ind w:left="6351"/>
      </w:pPr>
      <w:r>
        <w:t>(Authority: 20 U.S.C. 1439(a</w:t>
      </w:r>
      <w:proofErr w:type="gramStart"/>
      <w:r>
        <w:t>)(</w:t>
      </w:r>
      <w:proofErr w:type="gramEnd"/>
      <w:r>
        <w:t>6)-(7))</w:t>
      </w:r>
    </w:p>
    <w:p w:rsidR="00923942" w:rsidRDefault="00923942">
      <w:pPr>
        <w:pStyle w:val="BodyText"/>
        <w:spacing w:before="4"/>
        <w:rPr>
          <w:sz w:val="21"/>
        </w:rPr>
      </w:pPr>
    </w:p>
    <w:p w:rsidR="00923942" w:rsidRDefault="003C652F">
      <w:pPr>
        <w:pStyle w:val="Heading1"/>
        <w:ind w:left="1180"/>
      </w:pPr>
      <w:proofErr w:type="gramStart"/>
      <w:r>
        <w:t>CFR §303.404.</w:t>
      </w:r>
      <w:proofErr w:type="gramEnd"/>
      <w:r>
        <w:t xml:space="preserve"> Notice to parents.</w:t>
      </w:r>
    </w:p>
    <w:p w:rsidR="00923942" w:rsidRDefault="003C652F">
      <w:pPr>
        <w:pStyle w:val="BodyText"/>
        <w:spacing w:before="196"/>
        <w:ind w:left="1180"/>
      </w:pPr>
      <w:r>
        <w:t>The lead agency must give notice when a child is referred under part C of the Act that is adequate to fully inform parents about the requirements in §303.402, including:</w:t>
      </w:r>
    </w:p>
    <w:p w:rsidR="00923942" w:rsidRDefault="003C652F">
      <w:pPr>
        <w:pStyle w:val="ListParagraph"/>
        <w:numPr>
          <w:ilvl w:val="0"/>
          <w:numId w:val="1"/>
        </w:numPr>
        <w:tabs>
          <w:tab w:val="left" w:pos="1495"/>
        </w:tabs>
        <w:ind w:right="353" w:firstLine="0"/>
        <w:rPr>
          <w:sz w:val="24"/>
        </w:rPr>
      </w:pPr>
      <w:r>
        <w:rPr>
          <w:sz w:val="24"/>
        </w:rPr>
        <w:t>A description of the children on whom personally identifiable information is maintaine</w:t>
      </w:r>
      <w:r>
        <w:rPr>
          <w:sz w:val="24"/>
        </w:rPr>
        <w:t>d, the types of information sought, the methods the State intends to use in gathering the information (including the sources from whom information is gathered), and the uses to be made of the</w:t>
      </w:r>
      <w:r>
        <w:rPr>
          <w:spacing w:val="-19"/>
          <w:sz w:val="24"/>
        </w:rPr>
        <w:t xml:space="preserve"> </w:t>
      </w:r>
      <w:r>
        <w:rPr>
          <w:sz w:val="24"/>
        </w:rPr>
        <w:t>information;</w:t>
      </w:r>
    </w:p>
    <w:p w:rsidR="00923942" w:rsidRDefault="003C652F">
      <w:pPr>
        <w:pStyle w:val="ListParagraph"/>
        <w:numPr>
          <w:ilvl w:val="0"/>
          <w:numId w:val="1"/>
        </w:numPr>
        <w:tabs>
          <w:tab w:val="left" w:pos="1507"/>
        </w:tabs>
        <w:ind w:right="424" w:firstLine="0"/>
        <w:jc w:val="both"/>
        <w:rPr>
          <w:sz w:val="24"/>
        </w:rPr>
      </w:pPr>
      <w:r>
        <w:rPr>
          <w:sz w:val="24"/>
        </w:rPr>
        <w:t>A summary of the policies and procedures that parti</w:t>
      </w:r>
      <w:r>
        <w:rPr>
          <w:sz w:val="24"/>
        </w:rPr>
        <w:t>cipating agencies must follow regarding storage, disclosure to third parties, retention, and destruction of</w:t>
      </w:r>
      <w:r>
        <w:rPr>
          <w:spacing w:val="-34"/>
          <w:sz w:val="24"/>
        </w:rPr>
        <w:t xml:space="preserve"> </w:t>
      </w:r>
      <w:r>
        <w:rPr>
          <w:sz w:val="24"/>
        </w:rPr>
        <w:t>personally identifiable</w:t>
      </w:r>
      <w:r>
        <w:rPr>
          <w:spacing w:val="-9"/>
          <w:sz w:val="24"/>
        </w:rPr>
        <w:t xml:space="preserve"> </w:t>
      </w:r>
      <w:r>
        <w:rPr>
          <w:sz w:val="24"/>
        </w:rPr>
        <w:t>information;</w:t>
      </w:r>
    </w:p>
    <w:p w:rsidR="00923942" w:rsidRDefault="003C652F">
      <w:pPr>
        <w:pStyle w:val="ListParagraph"/>
        <w:numPr>
          <w:ilvl w:val="0"/>
          <w:numId w:val="1"/>
        </w:numPr>
        <w:tabs>
          <w:tab w:val="left" w:pos="1481"/>
        </w:tabs>
        <w:ind w:right="430" w:firstLine="0"/>
        <w:rPr>
          <w:sz w:val="24"/>
        </w:rPr>
      </w:pPr>
      <w:r>
        <w:rPr>
          <w:sz w:val="24"/>
        </w:rPr>
        <w:t>A description of all the rights of parents and children regarding this information, including their rights under the part C confidentiality provisions in §§303.401</w:t>
      </w:r>
      <w:r>
        <w:rPr>
          <w:spacing w:val="-34"/>
          <w:sz w:val="24"/>
        </w:rPr>
        <w:t xml:space="preserve"> </w:t>
      </w:r>
      <w:r>
        <w:rPr>
          <w:sz w:val="24"/>
        </w:rPr>
        <w:t>through 303.417;</w:t>
      </w:r>
      <w:r>
        <w:rPr>
          <w:spacing w:val="-3"/>
          <w:sz w:val="24"/>
        </w:rPr>
        <w:t xml:space="preserve"> </w:t>
      </w:r>
      <w:r>
        <w:rPr>
          <w:sz w:val="24"/>
        </w:rPr>
        <w:t>and</w:t>
      </w:r>
    </w:p>
    <w:p w:rsidR="00923942" w:rsidRDefault="003C652F">
      <w:pPr>
        <w:pStyle w:val="ListParagraph"/>
        <w:numPr>
          <w:ilvl w:val="0"/>
          <w:numId w:val="1"/>
        </w:numPr>
        <w:tabs>
          <w:tab w:val="left" w:pos="1507"/>
        </w:tabs>
        <w:ind w:right="255" w:firstLine="0"/>
        <w:rPr>
          <w:sz w:val="24"/>
        </w:rPr>
      </w:pPr>
      <w:r>
        <w:rPr>
          <w:sz w:val="24"/>
        </w:rPr>
        <w:t>A description of the extent that the notice is provided in the native l</w:t>
      </w:r>
      <w:r>
        <w:rPr>
          <w:sz w:val="24"/>
        </w:rPr>
        <w:t>anguages of the various population groups in the</w:t>
      </w:r>
      <w:r>
        <w:rPr>
          <w:spacing w:val="-17"/>
          <w:sz w:val="24"/>
        </w:rPr>
        <w:t xml:space="preserve"> </w:t>
      </w:r>
      <w:r>
        <w:rPr>
          <w:sz w:val="24"/>
        </w:rPr>
        <w:t>State.</w:t>
      </w:r>
    </w:p>
    <w:p w:rsidR="00923942" w:rsidRDefault="003C652F">
      <w:pPr>
        <w:pStyle w:val="BodyText"/>
        <w:spacing w:before="117"/>
        <w:ind w:left="4113"/>
      </w:pPr>
      <w:r>
        <w:t>(Authority: 20 U.S.C. 1417(c), 1435(a</w:t>
      </w:r>
      <w:proofErr w:type="gramStart"/>
      <w:r>
        <w:t>)(</w:t>
      </w:r>
      <w:proofErr w:type="gramEnd"/>
      <w:r>
        <w:t>5), 1439(a)(2), 1442)</w:t>
      </w:r>
    </w:p>
    <w:p w:rsidR="00923942" w:rsidRDefault="00923942">
      <w:pPr>
        <w:pStyle w:val="BodyText"/>
      </w:pPr>
    </w:p>
    <w:p w:rsidR="00923942" w:rsidRDefault="00923942">
      <w:pPr>
        <w:pStyle w:val="BodyText"/>
        <w:spacing w:before="1"/>
        <w:rPr>
          <w:sz w:val="23"/>
        </w:rPr>
      </w:pPr>
    </w:p>
    <w:p w:rsidR="00923942" w:rsidRDefault="003C652F">
      <w:pPr>
        <w:spacing w:before="1"/>
        <w:ind w:left="100" w:right="390" w:firstLine="719"/>
        <w:rPr>
          <w:sz w:val="24"/>
        </w:rPr>
      </w:pPr>
      <w:proofErr w:type="gramStart"/>
      <w:r>
        <w:rPr>
          <w:b/>
          <w:sz w:val="24"/>
        </w:rPr>
        <w:t>Early Intervention Case Management Services.</w:t>
      </w:r>
      <w:proofErr w:type="gramEnd"/>
      <w:r>
        <w:rPr>
          <w:b/>
          <w:sz w:val="24"/>
        </w:rPr>
        <w:t xml:space="preserve"> </w:t>
      </w:r>
      <w:r>
        <w:rPr>
          <w:sz w:val="24"/>
        </w:rPr>
        <w:t>The Board recommends addition of the definition of early intervention case management servic</w:t>
      </w:r>
      <w:r>
        <w:rPr>
          <w:sz w:val="24"/>
        </w:rPr>
        <w:t xml:space="preserve">es as proposed in </w:t>
      </w:r>
      <w:r>
        <w:rPr>
          <w:b/>
          <w:sz w:val="24"/>
        </w:rPr>
        <w:t xml:space="preserve">12VAC30-50-415, Case management for individuals receiving early intervention (Part C) services. </w:t>
      </w:r>
      <w:r>
        <w:rPr>
          <w:sz w:val="24"/>
        </w:rPr>
        <w:t>To ensure clarity regarding early intervention support coordination and early intervention (targeted) case management for Medicaid recipients,</w:t>
      </w:r>
      <w:r>
        <w:rPr>
          <w:sz w:val="24"/>
        </w:rPr>
        <w:t xml:space="preserve"> a cross reference to that regulation should be made under section 12VAC35-225-170, Service delivery.</w:t>
      </w:r>
    </w:p>
    <w:p w:rsidR="00923942" w:rsidRDefault="00923942">
      <w:pPr>
        <w:rPr>
          <w:sz w:val="24"/>
        </w:rPr>
        <w:sectPr w:rsidR="00923942">
          <w:pgSz w:w="12240" w:h="15840"/>
          <w:pgMar w:top="1600" w:right="960" w:bottom="840" w:left="1340" w:header="775" w:footer="648" w:gutter="0"/>
          <w:cols w:space="720"/>
        </w:sectPr>
      </w:pPr>
    </w:p>
    <w:p w:rsidR="00923942" w:rsidRDefault="00923942">
      <w:pPr>
        <w:pStyle w:val="BodyText"/>
        <w:spacing w:before="5"/>
        <w:rPr>
          <w:sz w:val="16"/>
        </w:rPr>
      </w:pPr>
    </w:p>
    <w:p w:rsidR="00923942" w:rsidRDefault="003C652F">
      <w:pPr>
        <w:pStyle w:val="Heading1"/>
      </w:pPr>
      <w:proofErr w:type="gramStart"/>
      <w:r>
        <w:rPr>
          <w:u w:val="single"/>
        </w:rPr>
        <w:t>12VAC35 -225-40</w:t>
      </w:r>
      <w:r>
        <w:rPr>
          <w:b w:val="0"/>
        </w:rPr>
        <w:t>-</w:t>
      </w:r>
      <w:r>
        <w:rPr>
          <w:u w:val="single"/>
        </w:rPr>
        <w:t>Public awareness and child identification and referral.</w:t>
      </w:r>
      <w:proofErr w:type="gramEnd"/>
    </w:p>
    <w:p w:rsidR="00923942" w:rsidRDefault="00923942">
      <w:pPr>
        <w:pStyle w:val="BodyText"/>
        <w:spacing w:before="11"/>
        <w:rPr>
          <w:b/>
          <w:sz w:val="15"/>
        </w:rPr>
      </w:pPr>
    </w:p>
    <w:p w:rsidR="00923942" w:rsidRDefault="003C652F">
      <w:pPr>
        <w:pStyle w:val="BodyText"/>
        <w:spacing w:before="52" w:line="244" w:lineRule="auto"/>
        <w:ind w:left="100" w:right="108" w:firstLine="719"/>
        <w:rPr>
          <w:i/>
        </w:rPr>
      </w:pPr>
      <w:r>
        <w:t xml:space="preserve">The Board appreciates the attention to information dissemination through primary referral sources, including hospitals that serve at-risk premature infants or those served in neonatal intensive care units (NICU) and their families. Although 12VAC35-225-50 </w:t>
      </w:r>
      <w:r>
        <w:t>requires referral to the single point of entry for early intervention within 7 days after being identified as potentially eligible, the regulation lacks a requirement for follow-up. The Board encourages inclusion of a requirement for follow up with familie</w:t>
      </w:r>
      <w:r>
        <w:t>s with premature infants or those who have been in the NICU at 3, 6, and 12 months after hospital discharge. It is extremely difficult for families whose infants are born with a significant complication—especially those that may be hospitalized for a lengt</w:t>
      </w:r>
      <w:r>
        <w:t xml:space="preserve">hy period—to take in all of the information provided to them at discharge. The importance of timely entry into early intervention cannot be overstated, and a formal mechanism therefore should be developed and implemented to ensure that these babies do not </w:t>
      </w:r>
      <w:r>
        <w:t xml:space="preserve">miss critical intervention time. This was also a recommendation in the Board’s 2014 </w:t>
      </w:r>
      <w:r>
        <w:rPr>
          <w:i/>
        </w:rPr>
        <w:t>Assessment of the Disability Services System in</w:t>
      </w:r>
      <w:r>
        <w:rPr>
          <w:i/>
          <w:spacing w:val="-6"/>
        </w:rPr>
        <w:t xml:space="preserve"> </w:t>
      </w:r>
      <w:r>
        <w:rPr>
          <w:i/>
        </w:rPr>
        <w:t>Virginia.</w:t>
      </w:r>
    </w:p>
    <w:p w:rsidR="00923942" w:rsidRDefault="00923942">
      <w:pPr>
        <w:pStyle w:val="BodyText"/>
        <w:spacing w:before="8"/>
        <w:rPr>
          <w:i/>
          <w:sz w:val="19"/>
        </w:rPr>
      </w:pPr>
    </w:p>
    <w:p w:rsidR="00923942" w:rsidRPr="00E47B28" w:rsidRDefault="003C652F" w:rsidP="00E47B28">
      <w:pPr>
        <w:pStyle w:val="BodyText"/>
        <w:rPr>
          <w:b/>
          <w:u w:val="single"/>
        </w:rPr>
      </w:pPr>
      <w:r w:rsidRPr="00E47B28">
        <w:rPr>
          <w:b/>
          <w:u w:val="single"/>
        </w:rPr>
        <w:t>12VAC35-225-90-Eligiblity determination process and 12VAC35-225-110, Assessment for service</w:t>
      </w:r>
      <w:r w:rsidRPr="00E47B28">
        <w:rPr>
          <w:b/>
          <w:u w:val="single"/>
        </w:rPr>
        <w:t xml:space="preserve"> </w:t>
      </w:r>
      <w:r w:rsidRPr="00E47B28">
        <w:rPr>
          <w:b/>
          <w:u w:val="single"/>
        </w:rPr>
        <w:t>planning</w:t>
      </w:r>
    </w:p>
    <w:p w:rsidR="00923942" w:rsidRDefault="00923942">
      <w:pPr>
        <w:pStyle w:val="BodyText"/>
        <w:spacing w:before="6"/>
        <w:rPr>
          <w:b/>
          <w:sz w:val="15"/>
        </w:rPr>
      </w:pPr>
    </w:p>
    <w:p w:rsidR="00923942" w:rsidRDefault="003C652F">
      <w:pPr>
        <w:pStyle w:val="BodyText"/>
        <w:spacing w:before="52" w:line="244" w:lineRule="auto"/>
        <w:ind w:left="100" w:right="763" w:firstLine="480"/>
      </w:pPr>
      <w:r>
        <w:t>There is an</w:t>
      </w:r>
      <w:r>
        <w:t xml:space="preserve"> inconsistency in language regarding the assessment tool to be used: Section 12VAC35-225-90 E (1) requires the “use of an evaluation instrument”, and section -110-</w:t>
      </w:r>
      <w:proofErr w:type="gramStart"/>
      <w:r>
        <w:t>E(</w:t>
      </w:r>
      <w:proofErr w:type="gramEnd"/>
      <w:r>
        <w:t>2)</w:t>
      </w:r>
    </w:p>
    <w:p w:rsidR="00923942" w:rsidRDefault="003C652F">
      <w:pPr>
        <w:pStyle w:val="BodyText"/>
        <w:spacing w:before="1" w:line="244" w:lineRule="auto"/>
        <w:ind w:left="100" w:right="108"/>
      </w:pPr>
      <w:proofErr w:type="gramStart"/>
      <w:r>
        <w:t>provides</w:t>
      </w:r>
      <w:proofErr w:type="gramEnd"/>
      <w:r>
        <w:t xml:space="preserve"> for “use of a comprehensive assessment tool.” Do these references mean two diff</w:t>
      </w:r>
      <w:r>
        <w:t xml:space="preserve">erent instruments? Although there may be more specificity in practice manuals, the Board believes that additional language should be considered for the actual regulation to provide clarity. Adding language from Part B of IDEA (CFR </w:t>
      </w:r>
      <w:r>
        <w:rPr>
          <w:rFonts w:ascii="Arial" w:hAnsi="Arial"/>
          <w:sz w:val="20"/>
        </w:rPr>
        <w:t xml:space="preserve">§ </w:t>
      </w:r>
      <w:r>
        <w:t>300.304) would be usefu</w:t>
      </w:r>
      <w:r>
        <w:t>l. The Board recommends consideration of the following language from federal regulations:</w:t>
      </w:r>
    </w:p>
    <w:p w:rsidR="00923942" w:rsidRDefault="00923942">
      <w:pPr>
        <w:pStyle w:val="BodyText"/>
        <w:spacing w:before="9"/>
        <w:rPr>
          <w:sz w:val="19"/>
        </w:rPr>
      </w:pPr>
    </w:p>
    <w:p w:rsidR="00923942" w:rsidRDefault="003C652F">
      <w:pPr>
        <w:pStyle w:val="BodyText"/>
        <w:ind w:left="575"/>
      </w:pPr>
      <w:r>
        <w:t>“Use technically sound instruments that</w:t>
      </w:r>
    </w:p>
    <w:p w:rsidR="00923942" w:rsidRDefault="003C652F">
      <w:pPr>
        <w:pStyle w:val="ListParagraph"/>
        <w:numPr>
          <w:ilvl w:val="1"/>
          <w:numId w:val="1"/>
        </w:numPr>
        <w:tabs>
          <w:tab w:val="left" w:pos="1656"/>
        </w:tabs>
        <w:spacing w:before="126" w:line="244" w:lineRule="auto"/>
        <w:ind w:right="545"/>
        <w:rPr>
          <w:sz w:val="24"/>
        </w:rPr>
      </w:pPr>
      <w:r>
        <w:rPr>
          <w:sz w:val="24"/>
        </w:rPr>
        <w:t>are used for the purposes for which the assessments or measures are valid</w:t>
      </w:r>
      <w:r>
        <w:rPr>
          <w:spacing w:val="-33"/>
          <w:sz w:val="24"/>
        </w:rPr>
        <w:t xml:space="preserve"> </w:t>
      </w:r>
      <w:r>
        <w:rPr>
          <w:sz w:val="24"/>
        </w:rPr>
        <w:t>and reliable;</w:t>
      </w:r>
    </w:p>
    <w:p w:rsidR="00923942" w:rsidRDefault="003C652F">
      <w:pPr>
        <w:pStyle w:val="ListParagraph"/>
        <w:numPr>
          <w:ilvl w:val="1"/>
          <w:numId w:val="1"/>
        </w:numPr>
        <w:tabs>
          <w:tab w:val="left" w:pos="1661"/>
        </w:tabs>
        <w:ind w:left="1660"/>
        <w:rPr>
          <w:sz w:val="24"/>
        </w:rPr>
      </w:pPr>
      <w:r>
        <w:rPr>
          <w:sz w:val="24"/>
        </w:rPr>
        <w:t>administered by trained and knowledge</w:t>
      </w:r>
      <w:r>
        <w:rPr>
          <w:sz w:val="24"/>
        </w:rPr>
        <w:t>able personnel;</w:t>
      </w:r>
      <w:r>
        <w:rPr>
          <w:spacing w:val="-20"/>
          <w:sz w:val="24"/>
        </w:rPr>
        <w:t xml:space="preserve"> </w:t>
      </w:r>
      <w:r>
        <w:rPr>
          <w:sz w:val="24"/>
        </w:rPr>
        <w:t>and</w:t>
      </w:r>
    </w:p>
    <w:p w:rsidR="00923942" w:rsidRDefault="003C652F">
      <w:pPr>
        <w:pStyle w:val="ListParagraph"/>
        <w:numPr>
          <w:ilvl w:val="1"/>
          <w:numId w:val="1"/>
        </w:numPr>
        <w:tabs>
          <w:tab w:val="left" w:pos="1661"/>
        </w:tabs>
        <w:spacing w:before="6" w:line="244" w:lineRule="auto"/>
        <w:ind w:left="1660" w:right="280"/>
        <w:rPr>
          <w:sz w:val="24"/>
        </w:rPr>
      </w:pPr>
      <w:proofErr w:type="gramStart"/>
      <w:r>
        <w:rPr>
          <w:sz w:val="24"/>
        </w:rPr>
        <w:t>are</w:t>
      </w:r>
      <w:proofErr w:type="gramEnd"/>
      <w:r>
        <w:rPr>
          <w:sz w:val="24"/>
        </w:rPr>
        <w:t xml:space="preserve"> administered in accordance with any instructions provided by the producer</w:t>
      </w:r>
      <w:r>
        <w:rPr>
          <w:spacing w:val="-33"/>
          <w:sz w:val="24"/>
        </w:rPr>
        <w:t xml:space="preserve"> </w:t>
      </w:r>
      <w:r>
        <w:rPr>
          <w:sz w:val="24"/>
        </w:rPr>
        <w:t>of the</w:t>
      </w:r>
      <w:r>
        <w:rPr>
          <w:spacing w:val="-2"/>
          <w:sz w:val="24"/>
        </w:rPr>
        <w:t xml:space="preserve"> </w:t>
      </w:r>
      <w:r>
        <w:rPr>
          <w:sz w:val="24"/>
        </w:rPr>
        <w:t>assessments.</w:t>
      </w:r>
    </w:p>
    <w:p w:rsidR="00923942" w:rsidRDefault="00923942">
      <w:pPr>
        <w:spacing w:line="244" w:lineRule="auto"/>
        <w:rPr>
          <w:sz w:val="24"/>
        </w:rPr>
        <w:sectPr w:rsidR="00923942">
          <w:pgSz w:w="12240" w:h="15840"/>
          <w:pgMar w:top="1600" w:right="1000" w:bottom="840" w:left="1340" w:header="775" w:footer="648" w:gutter="0"/>
          <w:cols w:space="720"/>
        </w:sectPr>
      </w:pPr>
    </w:p>
    <w:p w:rsidR="00923942" w:rsidRDefault="003C652F">
      <w:pPr>
        <w:pStyle w:val="BodyText"/>
        <w:spacing w:before="26" w:line="244" w:lineRule="auto"/>
        <w:ind w:left="100" w:right="2813"/>
      </w:pPr>
      <w:r>
        <w:lastRenderedPageBreak/>
        <w:t>VBPD Comments: Part C Early Intervention Proposed Regulation January 13, 2015</w:t>
      </w:r>
    </w:p>
    <w:p w:rsidR="00923942" w:rsidRDefault="003C652F">
      <w:pPr>
        <w:pStyle w:val="BodyText"/>
        <w:ind w:left="100"/>
      </w:pPr>
      <w:r>
        <w:t>Page 5</w:t>
      </w:r>
    </w:p>
    <w:p w:rsidR="00923942" w:rsidRDefault="00923942">
      <w:pPr>
        <w:pStyle w:val="BodyText"/>
        <w:rPr>
          <w:sz w:val="16"/>
        </w:rPr>
      </w:pPr>
    </w:p>
    <w:p w:rsidR="00923942" w:rsidRDefault="003C652F">
      <w:pPr>
        <w:pStyle w:val="Heading1"/>
      </w:pPr>
      <w:r>
        <w:rPr>
          <w:u w:val="single"/>
        </w:rPr>
        <w:t>12VAC35-225-120-Individual family service plan (IFSP) development.</w:t>
      </w:r>
    </w:p>
    <w:p w:rsidR="00923942" w:rsidRDefault="00923942">
      <w:pPr>
        <w:pStyle w:val="BodyText"/>
        <w:spacing w:before="11"/>
        <w:rPr>
          <w:b/>
          <w:sz w:val="15"/>
        </w:rPr>
      </w:pPr>
    </w:p>
    <w:p w:rsidR="00923942" w:rsidRDefault="003C652F">
      <w:pPr>
        <w:pStyle w:val="BodyText"/>
        <w:spacing w:before="52" w:line="244" w:lineRule="auto"/>
        <w:ind w:left="100" w:right="672" w:firstLine="719"/>
      </w:pPr>
      <w:r>
        <w:t>In sub-section -120 (6), the Board recommends that language be changed from “peer- reviewed research” to “scientifically based research,” to be consistent with federal Part C regulation CF</w:t>
      </w:r>
      <w:r>
        <w:t>R §303.32 (Authority 20 U.S.C. 1435(a)(2)).</w:t>
      </w:r>
    </w:p>
    <w:p w:rsidR="00923942" w:rsidRDefault="00923942">
      <w:pPr>
        <w:pStyle w:val="BodyText"/>
        <w:spacing w:before="8"/>
        <w:rPr>
          <w:sz w:val="19"/>
        </w:rPr>
      </w:pPr>
    </w:p>
    <w:p w:rsidR="00923942" w:rsidRDefault="003C652F">
      <w:pPr>
        <w:pStyle w:val="Heading1"/>
        <w:spacing w:before="1"/>
      </w:pPr>
      <w:r>
        <w:rPr>
          <w:u w:val="single"/>
        </w:rPr>
        <w:t>12VAC35-225- 420-Appeal to the Department of Medical Assistance Services</w:t>
      </w:r>
    </w:p>
    <w:p w:rsidR="00923942" w:rsidRDefault="00923942">
      <w:pPr>
        <w:pStyle w:val="BodyText"/>
        <w:rPr>
          <w:b/>
          <w:sz w:val="16"/>
        </w:rPr>
      </w:pPr>
    </w:p>
    <w:p w:rsidR="00923942" w:rsidRDefault="003C652F">
      <w:pPr>
        <w:pStyle w:val="BodyText"/>
        <w:spacing w:before="51" w:line="244" w:lineRule="auto"/>
        <w:ind w:left="100" w:right="82" w:firstLine="719"/>
      </w:pPr>
      <w:r>
        <w:t>Sub-section 420(A</w:t>
      </w:r>
      <w:proofErr w:type="gramStart"/>
      <w:r>
        <w:t>)(</w:t>
      </w:r>
      <w:proofErr w:type="gramEnd"/>
      <w:r>
        <w:t>3) specifies “the frequency and length of services in the IFSP” as actions that can be appealed by Medicaid or FAMIS r</w:t>
      </w:r>
      <w:r>
        <w:t>ecipients. The Board recommends adding “intensity of services” as another action for appeal. This proposed regulation defines “Intensity” as meaning “whether a service will be provided on an individual or group basis” (see -225-20, Definitions). The distin</w:t>
      </w:r>
      <w:r>
        <w:t>ction between individual vs. group services is as important as the length and frequency of services, and therefore should be a basis for appeal.</w:t>
      </w:r>
    </w:p>
    <w:p w:rsidR="00923942" w:rsidRDefault="00923942">
      <w:pPr>
        <w:pStyle w:val="BodyText"/>
        <w:spacing w:before="8"/>
        <w:rPr>
          <w:sz w:val="19"/>
        </w:rPr>
      </w:pPr>
    </w:p>
    <w:p w:rsidR="00923942" w:rsidRDefault="003C652F">
      <w:pPr>
        <w:pStyle w:val="Heading1"/>
        <w:spacing w:before="0"/>
        <w:rPr>
          <w:b w:val="0"/>
        </w:rPr>
      </w:pPr>
      <w:r>
        <w:rPr>
          <w:u w:val="single"/>
        </w:rPr>
        <w:t>12VAC35-225-450-Certification required for early intervention service providers</w:t>
      </w:r>
      <w:r>
        <w:rPr>
          <w:b w:val="0"/>
        </w:rPr>
        <w:t>.</w:t>
      </w:r>
    </w:p>
    <w:p w:rsidR="00923942" w:rsidRDefault="00923942">
      <w:pPr>
        <w:pStyle w:val="BodyText"/>
        <w:spacing w:before="2"/>
        <w:rPr>
          <w:sz w:val="20"/>
        </w:rPr>
      </w:pPr>
    </w:p>
    <w:p w:rsidR="00923942" w:rsidRDefault="003C652F">
      <w:pPr>
        <w:pStyle w:val="BodyText"/>
        <w:spacing w:line="244" w:lineRule="auto"/>
        <w:ind w:left="100" w:right="273" w:firstLine="719"/>
      </w:pPr>
      <w:r>
        <w:t>The Board supports individua</w:t>
      </w:r>
      <w:r>
        <w:t>l practitioner certification requirements, including the new requirements for behavior analysts. We are concerned, however, that this requirement may, at least temporarily, limit the number of providers available to deliver a critical service. We recommend</w:t>
      </w:r>
      <w:r>
        <w:t>, if this has not already occurred, that DBHDS and the Behavioral Analyst Certification Board consider creation of a time limited provisional certification or a grace period in which an individual is given a defined period of time to meet the behavior anal</w:t>
      </w:r>
      <w:r>
        <w:t>yst certification requirements—if the individual can document that they are enrolled in a certification program. (Provisional certification already is in use as a component of the Board of Education teacher licensure system.)</w:t>
      </w:r>
    </w:p>
    <w:p w:rsidR="00923942" w:rsidRDefault="00923942">
      <w:pPr>
        <w:pStyle w:val="BodyText"/>
        <w:spacing w:before="8"/>
        <w:rPr>
          <w:sz w:val="19"/>
        </w:rPr>
      </w:pPr>
    </w:p>
    <w:p w:rsidR="00923942" w:rsidRDefault="003C652F">
      <w:pPr>
        <w:pStyle w:val="BodyText"/>
        <w:spacing w:before="1" w:line="244" w:lineRule="auto"/>
        <w:ind w:left="100" w:right="168" w:firstLine="719"/>
      </w:pPr>
      <w:r>
        <w:t xml:space="preserve">Again, we appreciate the opportunity to comment. Should you need further information or have any questions, please don’t hesitate to contact me at 804-786-9369 or </w:t>
      </w:r>
      <w:hyperlink r:id="rId14">
        <w:r>
          <w:rPr>
            <w:color w:val="0000FF"/>
            <w:u w:val="single" w:color="0000FF"/>
          </w:rPr>
          <w:t>Heidi.Lawyer@vbpd.virginia.gov</w:t>
        </w:r>
      </w:hyperlink>
    </w:p>
    <w:sectPr w:rsidR="00923942">
      <w:headerReference w:type="default" r:id="rId15"/>
      <w:footerReference w:type="default" r:id="rId16"/>
      <w:pgSz w:w="12240" w:h="15840"/>
      <w:pgMar w:top="700" w:right="1020" w:bottom="840" w:left="1340" w:header="0"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2F" w:rsidRDefault="003C652F">
      <w:r>
        <w:separator/>
      </w:r>
    </w:p>
  </w:endnote>
  <w:endnote w:type="continuationSeparator" w:id="0">
    <w:p w:rsidR="003C652F" w:rsidRDefault="003C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B28" w:rsidRDefault="00E47B28" w:rsidP="00E47B28">
    <w:pPr>
      <w:spacing w:before="10"/>
      <w:ind w:left="20"/>
      <w:jc w:val="center"/>
      <w:rPr>
        <w:rFonts w:ascii="Times New Roman" w:hAnsi="Times New Roman"/>
        <w:i/>
        <w:sz w:val="24"/>
      </w:rPr>
    </w:pPr>
    <w:r>
      <w:rPr>
        <w:rFonts w:ascii="Times New Roman" w:hAnsi="Times New Roman"/>
        <w:i/>
        <w:color w:val="00529F"/>
        <w:sz w:val="24"/>
      </w:rPr>
      <w:t>Virginia’s Developmental Disabilities Council</w:t>
    </w:r>
  </w:p>
  <w:p w:rsidR="00923942" w:rsidRDefault="00923942">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42" w:rsidRDefault="00923942">
    <w:pPr>
      <w:pStyle w:val="BodyText"/>
      <w:spacing w:line="14" w:lineRule="auto"/>
      <w:rPr>
        <w:sz w:val="20"/>
      </w:rP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2F" w:rsidRDefault="003C652F">
      <w:r>
        <w:separator/>
      </w:r>
    </w:p>
  </w:footnote>
  <w:footnote w:type="continuationSeparator" w:id="0">
    <w:p w:rsidR="003C652F" w:rsidRDefault="003C6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B28" w:rsidRDefault="00E47B28" w:rsidP="00E47B28">
    <w:pPr>
      <w:pStyle w:val="BodyText"/>
      <w:spacing w:line="264" w:lineRule="exact"/>
      <w:ind w:left="20"/>
    </w:pPr>
    <w:r>
      <w:t>VBPD Comments:  Part C Early Intervention Proposed Regulation</w:t>
    </w:r>
  </w:p>
  <w:p w:rsidR="00E47B28" w:rsidRDefault="00E47B28" w:rsidP="00E47B28">
    <w:pPr>
      <w:pStyle w:val="BodyText"/>
      <w:spacing w:before="7"/>
      <w:ind w:left="20"/>
    </w:pPr>
    <w:r>
      <w:t>January 13, 2015</w:t>
    </w:r>
  </w:p>
  <w:p w:rsidR="00E47B28" w:rsidRDefault="00E47B28" w:rsidP="00E47B28">
    <w:pPr>
      <w:pStyle w:val="BodyText"/>
      <w:spacing w:before="7"/>
      <w:ind w:left="20"/>
    </w:pPr>
    <w:r>
      <w:t xml:space="preserve">Page </w:t>
    </w:r>
    <w:r>
      <w:fldChar w:fldCharType="begin"/>
    </w:r>
    <w:r>
      <w:instrText xml:space="preserve"> PAGE </w:instrText>
    </w:r>
    <w:r>
      <w:fldChar w:fldCharType="separate"/>
    </w:r>
    <w:r>
      <w:rPr>
        <w:noProof/>
      </w:rPr>
      <w:t>4</w:t>
    </w:r>
    <w:r>
      <w:fldChar w:fldCharType="end"/>
    </w:r>
  </w:p>
  <w:p w:rsidR="00923942" w:rsidRDefault="00923942">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42" w:rsidRDefault="00923942">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5CCE"/>
    <w:multiLevelType w:val="hybridMultilevel"/>
    <w:tmpl w:val="040CBB00"/>
    <w:lvl w:ilvl="0" w:tplc="70084A84">
      <w:start w:val="1"/>
      <w:numFmt w:val="lowerLetter"/>
      <w:lvlText w:val="(%1)"/>
      <w:lvlJc w:val="left"/>
      <w:pPr>
        <w:ind w:left="1180" w:hanging="314"/>
        <w:jc w:val="left"/>
      </w:pPr>
      <w:rPr>
        <w:rFonts w:ascii="Calibri" w:eastAsia="Calibri" w:hAnsi="Calibri" w:cs="Calibri" w:hint="default"/>
        <w:spacing w:val="-1"/>
        <w:w w:val="100"/>
        <w:sz w:val="24"/>
        <w:szCs w:val="24"/>
      </w:rPr>
    </w:lvl>
    <w:lvl w:ilvl="1" w:tplc="0BA0426E">
      <w:start w:val="1"/>
      <w:numFmt w:val="lowerLetter"/>
      <w:lvlText w:val="%2."/>
      <w:lvlJc w:val="left"/>
      <w:pPr>
        <w:ind w:left="1655" w:hanging="360"/>
        <w:jc w:val="left"/>
      </w:pPr>
      <w:rPr>
        <w:rFonts w:ascii="Calibri" w:eastAsia="Calibri" w:hAnsi="Calibri" w:cs="Calibri" w:hint="default"/>
        <w:spacing w:val="-3"/>
        <w:w w:val="100"/>
        <w:sz w:val="24"/>
        <w:szCs w:val="24"/>
      </w:rPr>
    </w:lvl>
    <w:lvl w:ilvl="2" w:tplc="0696E4BA">
      <w:numFmt w:val="bullet"/>
      <w:lvlText w:val="•"/>
      <w:lvlJc w:val="left"/>
      <w:pPr>
        <w:ind w:left="2575" w:hanging="360"/>
      </w:pPr>
      <w:rPr>
        <w:rFonts w:hint="default"/>
      </w:rPr>
    </w:lvl>
    <w:lvl w:ilvl="3" w:tplc="35C8A8DC">
      <w:numFmt w:val="bullet"/>
      <w:lvlText w:val="•"/>
      <w:lvlJc w:val="left"/>
      <w:pPr>
        <w:ind w:left="3491" w:hanging="360"/>
      </w:pPr>
      <w:rPr>
        <w:rFonts w:hint="default"/>
      </w:rPr>
    </w:lvl>
    <w:lvl w:ilvl="4" w:tplc="8E04CBDC">
      <w:numFmt w:val="bullet"/>
      <w:lvlText w:val="•"/>
      <w:lvlJc w:val="left"/>
      <w:pPr>
        <w:ind w:left="4406" w:hanging="360"/>
      </w:pPr>
      <w:rPr>
        <w:rFonts w:hint="default"/>
      </w:rPr>
    </w:lvl>
    <w:lvl w:ilvl="5" w:tplc="3DAA09F8">
      <w:numFmt w:val="bullet"/>
      <w:lvlText w:val="•"/>
      <w:lvlJc w:val="left"/>
      <w:pPr>
        <w:ind w:left="5322" w:hanging="360"/>
      </w:pPr>
      <w:rPr>
        <w:rFonts w:hint="default"/>
      </w:rPr>
    </w:lvl>
    <w:lvl w:ilvl="6" w:tplc="B16C10CA">
      <w:numFmt w:val="bullet"/>
      <w:lvlText w:val="•"/>
      <w:lvlJc w:val="left"/>
      <w:pPr>
        <w:ind w:left="6237" w:hanging="360"/>
      </w:pPr>
      <w:rPr>
        <w:rFonts w:hint="default"/>
      </w:rPr>
    </w:lvl>
    <w:lvl w:ilvl="7" w:tplc="6C80E0CA">
      <w:numFmt w:val="bullet"/>
      <w:lvlText w:val="•"/>
      <w:lvlJc w:val="left"/>
      <w:pPr>
        <w:ind w:left="7153" w:hanging="360"/>
      </w:pPr>
      <w:rPr>
        <w:rFonts w:hint="default"/>
      </w:rPr>
    </w:lvl>
    <w:lvl w:ilvl="8" w:tplc="27404F1C">
      <w:numFmt w:val="bullet"/>
      <w:lvlText w:val="•"/>
      <w:lvlJc w:val="left"/>
      <w:pPr>
        <w:ind w:left="8068" w:hanging="360"/>
      </w:pPr>
      <w:rPr>
        <w:rFonts w:hint="default"/>
      </w:rPr>
    </w:lvl>
  </w:abstractNum>
  <w:abstractNum w:abstractNumId="1">
    <w:nsid w:val="1DFF757B"/>
    <w:multiLevelType w:val="hybridMultilevel"/>
    <w:tmpl w:val="5CAC9B28"/>
    <w:lvl w:ilvl="0" w:tplc="B3E02776">
      <w:start w:val="1"/>
      <w:numFmt w:val="lowerLetter"/>
      <w:lvlText w:val="(%1)"/>
      <w:lvlJc w:val="left"/>
      <w:pPr>
        <w:ind w:left="1631" w:hanging="314"/>
        <w:jc w:val="left"/>
      </w:pPr>
      <w:rPr>
        <w:rFonts w:ascii="Calibri" w:eastAsia="Calibri" w:hAnsi="Calibri" w:cs="Calibri" w:hint="default"/>
        <w:spacing w:val="-1"/>
        <w:w w:val="100"/>
        <w:sz w:val="24"/>
        <w:szCs w:val="24"/>
      </w:rPr>
    </w:lvl>
    <w:lvl w:ilvl="1" w:tplc="2076CA68">
      <w:numFmt w:val="bullet"/>
      <w:lvlText w:val="•"/>
      <w:lvlJc w:val="left"/>
      <w:pPr>
        <w:ind w:left="2468" w:hanging="314"/>
      </w:pPr>
      <w:rPr>
        <w:rFonts w:hint="default"/>
      </w:rPr>
    </w:lvl>
    <w:lvl w:ilvl="2" w:tplc="6F103BA4">
      <w:numFmt w:val="bullet"/>
      <w:lvlText w:val="•"/>
      <w:lvlJc w:val="left"/>
      <w:pPr>
        <w:ind w:left="3296" w:hanging="314"/>
      </w:pPr>
      <w:rPr>
        <w:rFonts w:hint="default"/>
      </w:rPr>
    </w:lvl>
    <w:lvl w:ilvl="3" w:tplc="87EAA4FC">
      <w:numFmt w:val="bullet"/>
      <w:lvlText w:val="•"/>
      <w:lvlJc w:val="left"/>
      <w:pPr>
        <w:ind w:left="4124" w:hanging="314"/>
      </w:pPr>
      <w:rPr>
        <w:rFonts w:hint="default"/>
      </w:rPr>
    </w:lvl>
    <w:lvl w:ilvl="4" w:tplc="06C88562">
      <w:numFmt w:val="bullet"/>
      <w:lvlText w:val="•"/>
      <w:lvlJc w:val="left"/>
      <w:pPr>
        <w:ind w:left="4952" w:hanging="314"/>
      </w:pPr>
      <w:rPr>
        <w:rFonts w:hint="default"/>
      </w:rPr>
    </w:lvl>
    <w:lvl w:ilvl="5" w:tplc="718200A2">
      <w:numFmt w:val="bullet"/>
      <w:lvlText w:val="•"/>
      <w:lvlJc w:val="left"/>
      <w:pPr>
        <w:ind w:left="5780" w:hanging="314"/>
      </w:pPr>
      <w:rPr>
        <w:rFonts w:hint="default"/>
      </w:rPr>
    </w:lvl>
    <w:lvl w:ilvl="6" w:tplc="C44299C2">
      <w:numFmt w:val="bullet"/>
      <w:lvlText w:val="•"/>
      <w:lvlJc w:val="left"/>
      <w:pPr>
        <w:ind w:left="6608" w:hanging="314"/>
      </w:pPr>
      <w:rPr>
        <w:rFonts w:hint="default"/>
      </w:rPr>
    </w:lvl>
    <w:lvl w:ilvl="7" w:tplc="20CA5074">
      <w:numFmt w:val="bullet"/>
      <w:lvlText w:val="•"/>
      <w:lvlJc w:val="left"/>
      <w:pPr>
        <w:ind w:left="7436" w:hanging="314"/>
      </w:pPr>
      <w:rPr>
        <w:rFonts w:hint="default"/>
      </w:rPr>
    </w:lvl>
    <w:lvl w:ilvl="8" w:tplc="D316948C">
      <w:numFmt w:val="bullet"/>
      <w:lvlText w:val="•"/>
      <w:lvlJc w:val="left"/>
      <w:pPr>
        <w:ind w:left="8264" w:hanging="314"/>
      </w:pPr>
      <w:rPr>
        <w:rFonts w:hint="default"/>
      </w:rPr>
    </w:lvl>
  </w:abstractNum>
  <w:abstractNum w:abstractNumId="2">
    <w:nsid w:val="240B7897"/>
    <w:multiLevelType w:val="hybridMultilevel"/>
    <w:tmpl w:val="342AA86A"/>
    <w:lvl w:ilvl="0" w:tplc="91A604C8">
      <w:start w:val="2"/>
      <w:numFmt w:val="decimal"/>
      <w:lvlText w:val="(%1)"/>
      <w:lvlJc w:val="left"/>
      <w:pPr>
        <w:ind w:left="1900" w:hanging="322"/>
        <w:jc w:val="left"/>
      </w:pPr>
      <w:rPr>
        <w:rFonts w:ascii="Calibri" w:eastAsia="Calibri" w:hAnsi="Calibri" w:cs="Calibri" w:hint="default"/>
        <w:spacing w:val="-3"/>
        <w:w w:val="100"/>
        <w:sz w:val="24"/>
        <w:szCs w:val="24"/>
      </w:rPr>
    </w:lvl>
    <w:lvl w:ilvl="1" w:tplc="BCE8C4A2">
      <w:start w:val="1"/>
      <w:numFmt w:val="lowerRoman"/>
      <w:lvlText w:val="(%2)"/>
      <w:lvlJc w:val="left"/>
      <w:pPr>
        <w:ind w:left="2080" w:hanging="255"/>
        <w:jc w:val="left"/>
      </w:pPr>
      <w:rPr>
        <w:rFonts w:ascii="Calibri" w:eastAsia="Calibri" w:hAnsi="Calibri" w:cs="Calibri" w:hint="default"/>
        <w:spacing w:val="-3"/>
        <w:w w:val="100"/>
        <w:sz w:val="24"/>
        <w:szCs w:val="24"/>
      </w:rPr>
    </w:lvl>
    <w:lvl w:ilvl="2" w:tplc="1030826A">
      <w:numFmt w:val="bullet"/>
      <w:lvlText w:val="•"/>
      <w:lvlJc w:val="left"/>
      <w:pPr>
        <w:ind w:left="2953" w:hanging="255"/>
      </w:pPr>
      <w:rPr>
        <w:rFonts w:hint="default"/>
      </w:rPr>
    </w:lvl>
    <w:lvl w:ilvl="3" w:tplc="8FA4F084">
      <w:numFmt w:val="bullet"/>
      <w:lvlText w:val="•"/>
      <w:lvlJc w:val="left"/>
      <w:pPr>
        <w:ind w:left="3826" w:hanging="255"/>
      </w:pPr>
      <w:rPr>
        <w:rFonts w:hint="default"/>
      </w:rPr>
    </w:lvl>
    <w:lvl w:ilvl="4" w:tplc="9EEC576A">
      <w:numFmt w:val="bullet"/>
      <w:lvlText w:val="•"/>
      <w:lvlJc w:val="left"/>
      <w:pPr>
        <w:ind w:left="4700" w:hanging="255"/>
      </w:pPr>
      <w:rPr>
        <w:rFonts w:hint="default"/>
      </w:rPr>
    </w:lvl>
    <w:lvl w:ilvl="5" w:tplc="17A0960A">
      <w:numFmt w:val="bullet"/>
      <w:lvlText w:val="•"/>
      <w:lvlJc w:val="left"/>
      <w:pPr>
        <w:ind w:left="5573" w:hanging="255"/>
      </w:pPr>
      <w:rPr>
        <w:rFonts w:hint="default"/>
      </w:rPr>
    </w:lvl>
    <w:lvl w:ilvl="6" w:tplc="AAD43C2C">
      <w:numFmt w:val="bullet"/>
      <w:lvlText w:val="•"/>
      <w:lvlJc w:val="left"/>
      <w:pPr>
        <w:ind w:left="6446" w:hanging="255"/>
      </w:pPr>
      <w:rPr>
        <w:rFonts w:hint="default"/>
      </w:rPr>
    </w:lvl>
    <w:lvl w:ilvl="7" w:tplc="D7FEDCC2">
      <w:numFmt w:val="bullet"/>
      <w:lvlText w:val="•"/>
      <w:lvlJc w:val="left"/>
      <w:pPr>
        <w:ind w:left="7320" w:hanging="255"/>
      </w:pPr>
      <w:rPr>
        <w:rFonts w:hint="default"/>
      </w:rPr>
    </w:lvl>
    <w:lvl w:ilvl="8" w:tplc="7B90E2AE">
      <w:numFmt w:val="bullet"/>
      <w:lvlText w:val="•"/>
      <w:lvlJc w:val="left"/>
      <w:pPr>
        <w:ind w:left="8193" w:hanging="255"/>
      </w:pPr>
      <w:rPr>
        <w:rFonts w:hint="default"/>
      </w:rPr>
    </w:lvl>
  </w:abstractNum>
  <w:abstractNum w:abstractNumId="3">
    <w:nsid w:val="448E34C6"/>
    <w:multiLevelType w:val="hybridMultilevel"/>
    <w:tmpl w:val="92E61C64"/>
    <w:lvl w:ilvl="0" w:tplc="9E5A6A98">
      <w:start w:val="1"/>
      <w:numFmt w:val="lowerLetter"/>
      <w:lvlText w:val="(%1)"/>
      <w:lvlJc w:val="left"/>
      <w:pPr>
        <w:ind w:left="1540" w:hanging="315"/>
        <w:jc w:val="left"/>
      </w:pPr>
      <w:rPr>
        <w:rFonts w:ascii="Calibri" w:eastAsia="Calibri" w:hAnsi="Calibri" w:cs="Calibri" w:hint="default"/>
        <w:spacing w:val="-4"/>
        <w:w w:val="100"/>
        <w:sz w:val="24"/>
        <w:szCs w:val="24"/>
      </w:rPr>
    </w:lvl>
    <w:lvl w:ilvl="1" w:tplc="B36A6444">
      <w:start w:val="1"/>
      <w:numFmt w:val="decimal"/>
      <w:lvlText w:val="(%2)"/>
      <w:lvlJc w:val="left"/>
      <w:pPr>
        <w:ind w:left="2171" w:hanging="322"/>
        <w:jc w:val="left"/>
      </w:pPr>
      <w:rPr>
        <w:rFonts w:ascii="Calibri" w:eastAsia="Calibri" w:hAnsi="Calibri" w:cs="Calibri" w:hint="default"/>
        <w:spacing w:val="-3"/>
        <w:w w:val="100"/>
        <w:sz w:val="24"/>
        <w:szCs w:val="24"/>
      </w:rPr>
    </w:lvl>
    <w:lvl w:ilvl="2" w:tplc="FE6E64FA">
      <w:numFmt w:val="bullet"/>
      <w:lvlText w:val="•"/>
      <w:lvlJc w:val="left"/>
      <w:pPr>
        <w:ind w:left="3040" w:hanging="322"/>
      </w:pPr>
      <w:rPr>
        <w:rFonts w:hint="default"/>
      </w:rPr>
    </w:lvl>
    <w:lvl w:ilvl="3" w:tplc="233C2D52">
      <w:numFmt w:val="bullet"/>
      <w:lvlText w:val="•"/>
      <w:lvlJc w:val="left"/>
      <w:pPr>
        <w:ind w:left="3900" w:hanging="322"/>
      </w:pPr>
      <w:rPr>
        <w:rFonts w:hint="default"/>
      </w:rPr>
    </w:lvl>
    <w:lvl w:ilvl="4" w:tplc="02DE785C">
      <w:numFmt w:val="bullet"/>
      <w:lvlText w:val="•"/>
      <w:lvlJc w:val="left"/>
      <w:pPr>
        <w:ind w:left="4760" w:hanging="322"/>
      </w:pPr>
      <w:rPr>
        <w:rFonts w:hint="default"/>
      </w:rPr>
    </w:lvl>
    <w:lvl w:ilvl="5" w:tplc="E988A656">
      <w:numFmt w:val="bullet"/>
      <w:lvlText w:val="•"/>
      <w:lvlJc w:val="left"/>
      <w:pPr>
        <w:ind w:left="5620" w:hanging="322"/>
      </w:pPr>
      <w:rPr>
        <w:rFonts w:hint="default"/>
      </w:rPr>
    </w:lvl>
    <w:lvl w:ilvl="6" w:tplc="B45E26FE">
      <w:numFmt w:val="bullet"/>
      <w:lvlText w:val="•"/>
      <w:lvlJc w:val="left"/>
      <w:pPr>
        <w:ind w:left="6480" w:hanging="322"/>
      </w:pPr>
      <w:rPr>
        <w:rFonts w:hint="default"/>
      </w:rPr>
    </w:lvl>
    <w:lvl w:ilvl="7" w:tplc="55E0EA90">
      <w:numFmt w:val="bullet"/>
      <w:lvlText w:val="•"/>
      <w:lvlJc w:val="left"/>
      <w:pPr>
        <w:ind w:left="7340" w:hanging="322"/>
      </w:pPr>
      <w:rPr>
        <w:rFonts w:hint="default"/>
      </w:rPr>
    </w:lvl>
    <w:lvl w:ilvl="8" w:tplc="4992C0CE">
      <w:numFmt w:val="bullet"/>
      <w:lvlText w:val="•"/>
      <w:lvlJc w:val="left"/>
      <w:pPr>
        <w:ind w:left="8200" w:hanging="322"/>
      </w:pPr>
      <w:rPr>
        <w:rFonts w:hint="default"/>
      </w:rPr>
    </w:lvl>
  </w:abstractNum>
  <w:abstractNum w:abstractNumId="4">
    <w:nsid w:val="65802953"/>
    <w:multiLevelType w:val="hybridMultilevel"/>
    <w:tmpl w:val="17F6AB78"/>
    <w:lvl w:ilvl="0" w:tplc="8F0E865A">
      <w:start w:val="1"/>
      <w:numFmt w:val="lowerRoman"/>
      <w:lvlText w:val="(%1)"/>
      <w:lvlJc w:val="left"/>
      <w:pPr>
        <w:ind w:left="2080" w:hanging="255"/>
        <w:jc w:val="left"/>
      </w:pPr>
      <w:rPr>
        <w:rFonts w:ascii="Calibri" w:eastAsia="Calibri" w:hAnsi="Calibri" w:cs="Calibri" w:hint="default"/>
        <w:spacing w:val="-3"/>
        <w:w w:val="100"/>
        <w:sz w:val="24"/>
        <w:szCs w:val="24"/>
      </w:rPr>
    </w:lvl>
    <w:lvl w:ilvl="1" w:tplc="B218E9F6">
      <w:numFmt w:val="bullet"/>
      <w:lvlText w:val="•"/>
      <w:lvlJc w:val="left"/>
      <w:pPr>
        <w:ind w:left="2864" w:hanging="255"/>
      </w:pPr>
      <w:rPr>
        <w:rFonts w:hint="default"/>
      </w:rPr>
    </w:lvl>
    <w:lvl w:ilvl="2" w:tplc="04104D24">
      <w:numFmt w:val="bullet"/>
      <w:lvlText w:val="•"/>
      <w:lvlJc w:val="left"/>
      <w:pPr>
        <w:ind w:left="3648" w:hanging="255"/>
      </w:pPr>
      <w:rPr>
        <w:rFonts w:hint="default"/>
      </w:rPr>
    </w:lvl>
    <w:lvl w:ilvl="3" w:tplc="D7AC61F0">
      <w:numFmt w:val="bullet"/>
      <w:lvlText w:val="•"/>
      <w:lvlJc w:val="left"/>
      <w:pPr>
        <w:ind w:left="4432" w:hanging="255"/>
      </w:pPr>
      <w:rPr>
        <w:rFonts w:hint="default"/>
      </w:rPr>
    </w:lvl>
    <w:lvl w:ilvl="4" w:tplc="CC9AB122">
      <w:numFmt w:val="bullet"/>
      <w:lvlText w:val="•"/>
      <w:lvlJc w:val="left"/>
      <w:pPr>
        <w:ind w:left="5216" w:hanging="255"/>
      </w:pPr>
      <w:rPr>
        <w:rFonts w:hint="default"/>
      </w:rPr>
    </w:lvl>
    <w:lvl w:ilvl="5" w:tplc="E8102E98">
      <w:numFmt w:val="bullet"/>
      <w:lvlText w:val="•"/>
      <w:lvlJc w:val="left"/>
      <w:pPr>
        <w:ind w:left="6000" w:hanging="255"/>
      </w:pPr>
      <w:rPr>
        <w:rFonts w:hint="default"/>
      </w:rPr>
    </w:lvl>
    <w:lvl w:ilvl="6" w:tplc="DF4279EA">
      <w:numFmt w:val="bullet"/>
      <w:lvlText w:val="•"/>
      <w:lvlJc w:val="left"/>
      <w:pPr>
        <w:ind w:left="6784" w:hanging="255"/>
      </w:pPr>
      <w:rPr>
        <w:rFonts w:hint="default"/>
      </w:rPr>
    </w:lvl>
    <w:lvl w:ilvl="7" w:tplc="8AE03372">
      <w:numFmt w:val="bullet"/>
      <w:lvlText w:val="•"/>
      <w:lvlJc w:val="left"/>
      <w:pPr>
        <w:ind w:left="7568" w:hanging="255"/>
      </w:pPr>
      <w:rPr>
        <w:rFonts w:hint="default"/>
      </w:rPr>
    </w:lvl>
    <w:lvl w:ilvl="8" w:tplc="F61C49B8">
      <w:numFmt w:val="bullet"/>
      <w:lvlText w:val="•"/>
      <w:lvlJc w:val="left"/>
      <w:pPr>
        <w:ind w:left="8352" w:hanging="255"/>
      </w:pPr>
      <w:rPr>
        <w:rFont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42"/>
    <w:rsid w:val="003C652F"/>
    <w:rsid w:val="00871D61"/>
    <w:rsid w:val="00923942"/>
    <w:rsid w:val="00E4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1"/>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271"/>
    </w:pPr>
  </w:style>
  <w:style w:type="paragraph" w:customStyle="1" w:styleId="TableParagraph">
    <w:name w:val="Table Paragraph"/>
    <w:basedOn w:val="Normal"/>
    <w:uiPriority w:val="1"/>
    <w:qFormat/>
    <w:pPr>
      <w:spacing w:line="180" w:lineRule="exact"/>
    </w:pPr>
  </w:style>
  <w:style w:type="paragraph" w:styleId="BalloonText">
    <w:name w:val="Balloon Text"/>
    <w:basedOn w:val="Normal"/>
    <w:link w:val="BalloonTextChar"/>
    <w:uiPriority w:val="99"/>
    <w:semiHidden/>
    <w:unhideWhenUsed/>
    <w:rsid w:val="00871D61"/>
    <w:rPr>
      <w:rFonts w:ascii="Tahoma" w:hAnsi="Tahoma" w:cs="Tahoma"/>
      <w:sz w:val="16"/>
      <w:szCs w:val="16"/>
    </w:rPr>
  </w:style>
  <w:style w:type="character" w:customStyle="1" w:styleId="BalloonTextChar">
    <w:name w:val="Balloon Text Char"/>
    <w:basedOn w:val="DefaultParagraphFont"/>
    <w:link w:val="BalloonText"/>
    <w:uiPriority w:val="99"/>
    <w:semiHidden/>
    <w:rsid w:val="00871D61"/>
    <w:rPr>
      <w:rFonts w:ascii="Tahoma" w:eastAsia="Calibri" w:hAnsi="Tahoma" w:cs="Tahoma"/>
      <w:sz w:val="16"/>
      <w:szCs w:val="16"/>
    </w:rPr>
  </w:style>
  <w:style w:type="character" w:styleId="Hyperlink">
    <w:name w:val="Hyperlink"/>
    <w:basedOn w:val="DefaultParagraphFont"/>
    <w:uiPriority w:val="99"/>
    <w:unhideWhenUsed/>
    <w:rsid w:val="00E47B28"/>
    <w:rPr>
      <w:color w:val="0000FF" w:themeColor="hyperlink"/>
      <w:u w:val="single"/>
    </w:rPr>
  </w:style>
  <w:style w:type="table" w:styleId="TableGrid">
    <w:name w:val="Table Grid"/>
    <w:basedOn w:val="TableNormal"/>
    <w:uiPriority w:val="59"/>
    <w:rsid w:val="00E47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7B28"/>
    <w:pPr>
      <w:tabs>
        <w:tab w:val="center" w:pos="4680"/>
        <w:tab w:val="right" w:pos="9360"/>
      </w:tabs>
    </w:pPr>
  </w:style>
  <w:style w:type="character" w:customStyle="1" w:styleId="HeaderChar">
    <w:name w:val="Header Char"/>
    <w:basedOn w:val="DefaultParagraphFont"/>
    <w:link w:val="Header"/>
    <w:uiPriority w:val="99"/>
    <w:rsid w:val="00E47B28"/>
    <w:rPr>
      <w:rFonts w:ascii="Calibri" w:eastAsia="Calibri" w:hAnsi="Calibri" w:cs="Calibri"/>
    </w:rPr>
  </w:style>
  <w:style w:type="paragraph" w:styleId="Footer">
    <w:name w:val="footer"/>
    <w:basedOn w:val="Normal"/>
    <w:link w:val="FooterChar"/>
    <w:uiPriority w:val="99"/>
    <w:unhideWhenUsed/>
    <w:rsid w:val="00E47B28"/>
    <w:pPr>
      <w:tabs>
        <w:tab w:val="center" w:pos="4680"/>
        <w:tab w:val="right" w:pos="9360"/>
      </w:tabs>
    </w:pPr>
  </w:style>
  <w:style w:type="character" w:customStyle="1" w:styleId="FooterChar">
    <w:name w:val="Footer Char"/>
    <w:basedOn w:val="DefaultParagraphFont"/>
    <w:link w:val="Footer"/>
    <w:uiPriority w:val="99"/>
    <w:rsid w:val="00E47B28"/>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1"/>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271"/>
    </w:pPr>
  </w:style>
  <w:style w:type="paragraph" w:customStyle="1" w:styleId="TableParagraph">
    <w:name w:val="Table Paragraph"/>
    <w:basedOn w:val="Normal"/>
    <w:uiPriority w:val="1"/>
    <w:qFormat/>
    <w:pPr>
      <w:spacing w:line="180" w:lineRule="exact"/>
    </w:pPr>
  </w:style>
  <w:style w:type="paragraph" w:styleId="BalloonText">
    <w:name w:val="Balloon Text"/>
    <w:basedOn w:val="Normal"/>
    <w:link w:val="BalloonTextChar"/>
    <w:uiPriority w:val="99"/>
    <w:semiHidden/>
    <w:unhideWhenUsed/>
    <w:rsid w:val="00871D61"/>
    <w:rPr>
      <w:rFonts w:ascii="Tahoma" w:hAnsi="Tahoma" w:cs="Tahoma"/>
      <w:sz w:val="16"/>
      <w:szCs w:val="16"/>
    </w:rPr>
  </w:style>
  <w:style w:type="character" w:customStyle="1" w:styleId="BalloonTextChar">
    <w:name w:val="Balloon Text Char"/>
    <w:basedOn w:val="DefaultParagraphFont"/>
    <w:link w:val="BalloonText"/>
    <w:uiPriority w:val="99"/>
    <w:semiHidden/>
    <w:rsid w:val="00871D61"/>
    <w:rPr>
      <w:rFonts w:ascii="Tahoma" w:eastAsia="Calibri" w:hAnsi="Tahoma" w:cs="Tahoma"/>
      <w:sz w:val="16"/>
      <w:szCs w:val="16"/>
    </w:rPr>
  </w:style>
  <w:style w:type="character" w:styleId="Hyperlink">
    <w:name w:val="Hyperlink"/>
    <w:basedOn w:val="DefaultParagraphFont"/>
    <w:uiPriority w:val="99"/>
    <w:unhideWhenUsed/>
    <w:rsid w:val="00E47B28"/>
    <w:rPr>
      <w:color w:val="0000FF" w:themeColor="hyperlink"/>
      <w:u w:val="single"/>
    </w:rPr>
  </w:style>
  <w:style w:type="table" w:styleId="TableGrid">
    <w:name w:val="Table Grid"/>
    <w:basedOn w:val="TableNormal"/>
    <w:uiPriority w:val="59"/>
    <w:rsid w:val="00E47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7B28"/>
    <w:pPr>
      <w:tabs>
        <w:tab w:val="center" w:pos="4680"/>
        <w:tab w:val="right" w:pos="9360"/>
      </w:tabs>
    </w:pPr>
  </w:style>
  <w:style w:type="character" w:customStyle="1" w:styleId="HeaderChar">
    <w:name w:val="Header Char"/>
    <w:basedOn w:val="DefaultParagraphFont"/>
    <w:link w:val="Header"/>
    <w:uiPriority w:val="99"/>
    <w:rsid w:val="00E47B28"/>
    <w:rPr>
      <w:rFonts w:ascii="Calibri" w:eastAsia="Calibri" w:hAnsi="Calibri" w:cs="Calibri"/>
    </w:rPr>
  </w:style>
  <w:style w:type="paragraph" w:styleId="Footer">
    <w:name w:val="footer"/>
    <w:basedOn w:val="Normal"/>
    <w:link w:val="FooterChar"/>
    <w:uiPriority w:val="99"/>
    <w:unhideWhenUsed/>
    <w:rsid w:val="00E47B28"/>
    <w:pPr>
      <w:tabs>
        <w:tab w:val="center" w:pos="4680"/>
        <w:tab w:val="right" w:pos="9360"/>
      </w:tabs>
    </w:pPr>
  </w:style>
  <w:style w:type="character" w:customStyle="1" w:styleId="FooterChar">
    <w:name w:val="Footer Char"/>
    <w:basedOn w:val="DefaultParagraphFont"/>
    <w:link w:val="Footer"/>
    <w:uiPriority w:val="99"/>
    <w:rsid w:val="00E47B2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aboard.org/"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mailto:info@vbpd.virginia.gov" TargetMode="External"/><Relationship Id="rId14" Type="http://schemas.openxmlformats.org/officeDocument/2006/relationships/hyperlink" Target="mailto:Heidi.Lawyer@vbpd.virginia.gov"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NKAHMF2WWKTP-399312027-2055</_dlc_DocId>
    <_dlc_DocIdUrl xmlns="89461f00-0b74-46d7-ba90-7a84aa4e2ee4">
      <Url>https://sharepoint.wwrc.net/VBPDdocs/_layouts/15/DocIdRedir.aspx?ID=NKAHMF2WWKTP-399312027-2055</Url>
      <Description>NKAHMF2WWKTP-399312027-2055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AF1761-2B1C-40D4-9FE9-A7967BA565AA}"/>
</file>

<file path=customXml/itemProps2.xml><?xml version="1.0" encoding="utf-8"?>
<ds:datastoreItem xmlns:ds="http://schemas.openxmlformats.org/officeDocument/2006/customXml" ds:itemID="{101CCB19-8045-4337-9172-BF511B66E0AF}"/>
</file>

<file path=customXml/itemProps3.xml><?xml version="1.0" encoding="utf-8"?>
<ds:datastoreItem xmlns:ds="http://schemas.openxmlformats.org/officeDocument/2006/customXml" ds:itemID="{FF6037A0-C7AF-4A81-804C-F1DB73843B15}"/>
</file>

<file path=customXml/itemProps4.xml><?xml version="1.0" encoding="utf-8"?>
<ds:datastoreItem xmlns:ds="http://schemas.openxmlformats.org/officeDocument/2006/customXml" ds:itemID="{9783A45F-A99D-476D-9D86-4BF98B7E1248}"/>
</file>

<file path=customXml/itemProps5.xml><?xml version="1.0" encoding="utf-8"?>
<ds:datastoreItem xmlns:ds="http://schemas.openxmlformats.org/officeDocument/2006/customXml" ds:itemID="{9ADC5397-73FC-4E4F-BC88-BCBDB230D22A}"/>
</file>

<file path=docProps/app.xml><?xml version="1.0" encoding="utf-8"?>
<Properties xmlns="http://schemas.openxmlformats.org/officeDocument/2006/extended-properties" xmlns:vt="http://schemas.openxmlformats.org/officeDocument/2006/docPropsVTypes">
  <Template>Normal</Template>
  <TotalTime>3</TotalTime>
  <Pages>5</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EJH</dc:creator>
  <cp:lastModifiedBy>Jarvela, Benjamin (VBPD)</cp:lastModifiedBy>
  <cp:revision>3</cp:revision>
  <dcterms:created xsi:type="dcterms:W3CDTF">2017-07-24T15:48:00Z</dcterms:created>
  <dcterms:modified xsi:type="dcterms:W3CDTF">2017-07-24T15:51:00Z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Microsoft® Office Word 2007</vt:lpwstr>
  </property>
  <property fmtid="{D5CDD505-2E9C-101B-9397-08002B2CF9AE}" pid="4" name="LastSaved">
    <vt:filetime>2017-07-24T00:00:00Z</vt:filetime>
  </property>
  <property fmtid="{D5CDD505-2E9C-101B-9397-08002B2CF9AE}" pid="5" name="ContentTypeId">
    <vt:lpwstr>0x0101009A83348A73B2104AA43CA6202EED0D55</vt:lpwstr>
  </property>
  <property fmtid="{D5CDD505-2E9C-101B-9397-08002B2CF9AE}" pid="6" name="_dlc_DocIdItemGuid">
    <vt:lpwstr>66748893-6e6f-48a8-a4af-3b458a9981a0</vt:lpwstr>
  </property>
</Properties>
</file>