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D0" w:rsidRDefault="005E4DE9">
      <w:pPr>
        <w:pStyle w:val="BodyText"/>
        <w:ind w:left="4410"/>
        <w:rPr>
          <w:rFonts w:ascii="Times New Roman"/>
          <w:sz w:val="20"/>
        </w:rPr>
      </w:pPr>
      <w:r>
        <w:rPr>
          <w:rFonts w:ascii="Times New Roman"/>
          <w:noProof/>
          <w:sz w:val="20"/>
        </w:rPr>
        <w:drawing>
          <wp:inline distT="0" distB="0" distL="0" distR="0">
            <wp:extent cx="921607" cy="909447"/>
            <wp:effectExtent l="0" t="0" r="0" b="5080"/>
            <wp:docPr id="1" name="image1.jpeg"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1607" cy="909447"/>
                    </a:xfrm>
                    <a:prstGeom prst="rect">
                      <a:avLst/>
                    </a:prstGeom>
                  </pic:spPr>
                </pic:pic>
              </a:graphicData>
            </a:graphic>
          </wp:inline>
        </w:drawing>
      </w:r>
    </w:p>
    <w:p w:rsidR="00EF49D0" w:rsidRDefault="005E4DE9">
      <w:pPr>
        <w:pStyle w:val="BodyText"/>
        <w:spacing w:before="33"/>
        <w:ind w:left="3058" w:right="3594"/>
        <w:jc w:val="center"/>
        <w:rPr>
          <w:rFonts w:ascii="Copperplate Gothic Light"/>
        </w:rPr>
      </w:pPr>
      <w:r>
        <w:rPr>
          <w:rFonts w:ascii="Copperplate Gothic Light"/>
          <w:color w:val="00529F"/>
        </w:rPr>
        <w:t>Commonwealth of Virginia</w:t>
      </w:r>
    </w:p>
    <w:p w:rsidR="00EF49D0" w:rsidRDefault="005E4DE9">
      <w:pPr>
        <w:spacing w:before="26"/>
        <w:ind w:left="3059" w:right="3594"/>
        <w:jc w:val="center"/>
        <w:rPr>
          <w:rFonts w:ascii="Times New Roman"/>
          <w:i/>
          <w:sz w:val="24"/>
        </w:rPr>
      </w:pPr>
      <w:r>
        <w:rPr>
          <w:rFonts w:ascii="Times New Roman"/>
          <w:i/>
          <w:color w:val="00529F"/>
          <w:sz w:val="24"/>
        </w:rPr>
        <w:t>Virginia Board for People with Disabilities</w:t>
      </w:r>
    </w:p>
    <w:p w:rsidR="00EF49D0" w:rsidRDefault="00EF49D0">
      <w:pPr>
        <w:pStyle w:val="BodyText"/>
        <w:spacing w:before="8" w:after="1"/>
        <w:rPr>
          <w:rFonts w:ascii="Times New Roman"/>
          <w:i/>
          <w:sz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Virignia Board for People with Disabilities"/>
      </w:tblPr>
      <w:tblGrid>
        <w:gridCol w:w="2538"/>
        <w:gridCol w:w="5310"/>
        <w:gridCol w:w="2775"/>
      </w:tblGrid>
      <w:tr w:rsidR="00EF49D0" w:rsidTr="005E4DE9">
        <w:trPr>
          <w:trHeight w:val="180"/>
          <w:tblHeader/>
        </w:trPr>
        <w:tc>
          <w:tcPr>
            <w:tcW w:w="2538" w:type="dxa"/>
          </w:tcPr>
          <w:p w:rsidR="00EF49D0" w:rsidRDefault="005E4DE9">
            <w:pPr>
              <w:pStyle w:val="TableParagraph"/>
              <w:spacing w:line="179" w:lineRule="exact"/>
              <w:ind w:left="200"/>
              <w:rPr>
                <w:b/>
                <w:sz w:val="20"/>
              </w:rPr>
            </w:pPr>
            <w:r>
              <w:rPr>
                <w:b/>
                <w:color w:val="365F91"/>
                <w:sz w:val="20"/>
              </w:rPr>
              <w:t>Korinda Rusinyak</w:t>
            </w:r>
          </w:p>
        </w:tc>
        <w:tc>
          <w:tcPr>
            <w:tcW w:w="5310" w:type="dxa"/>
          </w:tcPr>
          <w:p w:rsidR="00EF49D0" w:rsidRDefault="005E4DE9">
            <w:pPr>
              <w:pStyle w:val="TableParagraph"/>
              <w:spacing w:line="179" w:lineRule="exact"/>
              <w:ind w:left="1029" w:right="653"/>
              <w:jc w:val="center"/>
              <w:rPr>
                <w:i/>
                <w:sz w:val="20"/>
              </w:rPr>
            </w:pPr>
            <w:r>
              <w:rPr>
                <w:i/>
                <w:color w:val="365F91"/>
                <w:sz w:val="20"/>
              </w:rPr>
              <w:t>Washington Building, Capitol Square</w:t>
            </w:r>
          </w:p>
        </w:tc>
        <w:tc>
          <w:tcPr>
            <w:tcW w:w="2775" w:type="dxa"/>
          </w:tcPr>
          <w:p w:rsidR="00EF49D0" w:rsidRDefault="005E4DE9">
            <w:pPr>
              <w:pStyle w:val="TableParagraph"/>
              <w:spacing w:line="179" w:lineRule="exact"/>
              <w:ind w:right="198"/>
              <w:jc w:val="right"/>
              <w:rPr>
                <w:sz w:val="20"/>
              </w:rPr>
            </w:pPr>
            <w:r>
              <w:rPr>
                <w:color w:val="365F91"/>
                <w:sz w:val="20"/>
              </w:rPr>
              <w:t>804-786-0016 (TTY/Voice)</w:t>
            </w:r>
          </w:p>
        </w:tc>
      </w:tr>
      <w:tr w:rsidR="00EF49D0" w:rsidTr="005E4DE9">
        <w:trPr>
          <w:trHeight w:val="200"/>
        </w:trPr>
        <w:tc>
          <w:tcPr>
            <w:tcW w:w="2538" w:type="dxa"/>
          </w:tcPr>
          <w:p w:rsidR="00EF49D0" w:rsidRDefault="005E4DE9">
            <w:pPr>
              <w:pStyle w:val="TableParagraph"/>
              <w:ind w:left="200"/>
              <w:rPr>
                <w:i/>
                <w:sz w:val="20"/>
              </w:rPr>
            </w:pPr>
            <w:r>
              <w:rPr>
                <w:i/>
                <w:color w:val="365F91"/>
                <w:sz w:val="20"/>
              </w:rPr>
              <w:t>Chair</w:t>
            </w:r>
          </w:p>
        </w:tc>
        <w:tc>
          <w:tcPr>
            <w:tcW w:w="5310" w:type="dxa"/>
          </w:tcPr>
          <w:p w:rsidR="00EF49D0" w:rsidRDefault="005E4DE9">
            <w:pPr>
              <w:pStyle w:val="TableParagraph"/>
              <w:ind w:left="1028" w:right="653"/>
              <w:jc w:val="center"/>
              <w:rPr>
                <w:i/>
                <w:sz w:val="20"/>
              </w:rPr>
            </w:pPr>
            <w:r>
              <w:rPr>
                <w:i/>
                <w:color w:val="365F91"/>
                <w:sz w:val="20"/>
              </w:rPr>
              <w:t>1100 Bank Street, 7th Floor</w:t>
            </w:r>
          </w:p>
        </w:tc>
        <w:tc>
          <w:tcPr>
            <w:tcW w:w="2775" w:type="dxa"/>
          </w:tcPr>
          <w:p w:rsidR="00EF49D0" w:rsidRDefault="005E4DE9">
            <w:pPr>
              <w:pStyle w:val="TableParagraph"/>
              <w:ind w:right="198"/>
              <w:jc w:val="right"/>
              <w:rPr>
                <w:sz w:val="20"/>
              </w:rPr>
            </w:pPr>
            <w:r>
              <w:rPr>
                <w:color w:val="365F91"/>
                <w:sz w:val="20"/>
              </w:rPr>
              <w:t>1-800-846-4464 (TTY/ Voice)</w:t>
            </w:r>
          </w:p>
        </w:tc>
      </w:tr>
      <w:tr w:rsidR="00EF49D0" w:rsidTr="005E4DE9">
        <w:trPr>
          <w:trHeight w:val="200"/>
        </w:trPr>
        <w:tc>
          <w:tcPr>
            <w:tcW w:w="2538" w:type="dxa"/>
          </w:tcPr>
          <w:p w:rsidR="00EF49D0" w:rsidRDefault="005E4DE9">
            <w:pPr>
              <w:pStyle w:val="TableParagraph"/>
              <w:ind w:left="200"/>
              <w:rPr>
                <w:b/>
                <w:sz w:val="20"/>
              </w:rPr>
            </w:pPr>
            <w:r>
              <w:rPr>
                <w:b/>
                <w:color w:val="365F91"/>
                <w:sz w:val="20"/>
              </w:rPr>
              <w:t>Charles Meacham</w:t>
            </w:r>
          </w:p>
        </w:tc>
        <w:tc>
          <w:tcPr>
            <w:tcW w:w="5310" w:type="dxa"/>
          </w:tcPr>
          <w:p w:rsidR="00EF49D0" w:rsidRDefault="005E4DE9">
            <w:pPr>
              <w:pStyle w:val="TableParagraph"/>
              <w:ind w:left="1028" w:right="653"/>
              <w:jc w:val="center"/>
              <w:rPr>
                <w:i/>
                <w:sz w:val="20"/>
              </w:rPr>
            </w:pPr>
            <w:r>
              <w:rPr>
                <w:i/>
                <w:color w:val="365F91"/>
                <w:sz w:val="20"/>
              </w:rPr>
              <w:t>Richmond, Virginia 23219</w:t>
            </w:r>
          </w:p>
        </w:tc>
        <w:tc>
          <w:tcPr>
            <w:tcW w:w="2775" w:type="dxa"/>
          </w:tcPr>
          <w:p w:rsidR="00EF49D0" w:rsidRDefault="005E4DE9">
            <w:pPr>
              <w:pStyle w:val="TableParagraph"/>
              <w:ind w:right="198"/>
              <w:jc w:val="right"/>
              <w:rPr>
                <w:sz w:val="20"/>
              </w:rPr>
            </w:pPr>
            <w:r>
              <w:rPr>
                <w:color w:val="365F91"/>
                <w:sz w:val="20"/>
              </w:rPr>
              <w:t>804-786-1118 (Fax)</w:t>
            </w:r>
          </w:p>
        </w:tc>
      </w:tr>
      <w:tr w:rsidR="00EF49D0" w:rsidTr="005E4DE9">
        <w:trPr>
          <w:trHeight w:val="180"/>
        </w:trPr>
        <w:tc>
          <w:tcPr>
            <w:tcW w:w="2538" w:type="dxa"/>
          </w:tcPr>
          <w:p w:rsidR="00EF49D0" w:rsidRDefault="005E4DE9">
            <w:pPr>
              <w:pStyle w:val="TableParagraph"/>
              <w:spacing w:line="179" w:lineRule="exact"/>
              <w:ind w:left="200"/>
              <w:rPr>
                <w:i/>
                <w:sz w:val="20"/>
              </w:rPr>
            </w:pPr>
            <w:r>
              <w:rPr>
                <w:i/>
                <w:color w:val="365F91"/>
                <w:sz w:val="20"/>
              </w:rPr>
              <w:t>Vice Chair</w:t>
            </w:r>
          </w:p>
        </w:tc>
        <w:tc>
          <w:tcPr>
            <w:tcW w:w="5310" w:type="dxa"/>
          </w:tcPr>
          <w:p w:rsidR="00EF49D0" w:rsidRDefault="00EF49D0">
            <w:pPr>
              <w:pStyle w:val="TableParagraph"/>
              <w:spacing w:line="240" w:lineRule="auto"/>
              <w:rPr>
                <w:rFonts w:ascii="Times New Roman"/>
                <w:sz w:val="12"/>
              </w:rPr>
            </w:pPr>
          </w:p>
        </w:tc>
        <w:tc>
          <w:tcPr>
            <w:tcW w:w="2775" w:type="dxa"/>
          </w:tcPr>
          <w:p w:rsidR="00EF49D0" w:rsidRDefault="005E4DE9">
            <w:pPr>
              <w:pStyle w:val="TableParagraph"/>
              <w:spacing w:line="179" w:lineRule="exact"/>
              <w:ind w:right="198"/>
              <w:jc w:val="right"/>
              <w:rPr>
                <w:sz w:val="20"/>
              </w:rPr>
            </w:pPr>
            <w:hyperlink r:id="rId6">
              <w:r>
                <w:rPr>
                  <w:color w:val="365F91"/>
                  <w:sz w:val="20"/>
                </w:rPr>
                <w:t>info@vbpd.virginia.gov</w:t>
              </w:r>
            </w:hyperlink>
          </w:p>
        </w:tc>
      </w:tr>
      <w:tr w:rsidR="00EF49D0" w:rsidTr="005E4DE9">
        <w:trPr>
          <w:trHeight w:val="200"/>
        </w:trPr>
        <w:tc>
          <w:tcPr>
            <w:tcW w:w="2538" w:type="dxa"/>
          </w:tcPr>
          <w:p w:rsidR="00EF49D0" w:rsidRDefault="005E4DE9">
            <w:pPr>
              <w:pStyle w:val="TableParagraph"/>
              <w:ind w:left="200"/>
              <w:rPr>
                <w:b/>
                <w:sz w:val="20"/>
              </w:rPr>
            </w:pPr>
            <w:r>
              <w:rPr>
                <w:b/>
                <w:color w:val="365F91"/>
                <w:sz w:val="20"/>
              </w:rPr>
              <w:t>Dennis Manning</w:t>
            </w:r>
          </w:p>
        </w:tc>
        <w:tc>
          <w:tcPr>
            <w:tcW w:w="5310" w:type="dxa"/>
          </w:tcPr>
          <w:p w:rsidR="00EF49D0" w:rsidRDefault="00EF49D0">
            <w:pPr>
              <w:pStyle w:val="TableParagraph"/>
              <w:spacing w:line="240" w:lineRule="auto"/>
              <w:rPr>
                <w:rFonts w:ascii="Times New Roman"/>
                <w:sz w:val="12"/>
              </w:rPr>
            </w:pPr>
          </w:p>
        </w:tc>
        <w:tc>
          <w:tcPr>
            <w:tcW w:w="2775" w:type="dxa"/>
          </w:tcPr>
          <w:p w:rsidR="00EF49D0" w:rsidRDefault="005E4DE9">
            <w:pPr>
              <w:pStyle w:val="TableParagraph"/>
              <w:ind w:right="199"/>
              <w:jc w:val="right"/>
              <w:rPr>
                <w:sz w:val="20"/>
              </w:rPr>
            </w:pPr>
            <w:hyperlink r:id="rId7">
              <w:r>
                <w:rPr>
                  <w:color w:val="365F91"/>
                  <w:sz w:val="20"/>
                </w:rPr>
                <w:t xml:space="preserve">Website: </w:t>
              </w:r>
              <w:r>
                <w:rPr>
                  <w:color w:val="365F91"/>
                  <w:sz w:val="20"/>
                </w:rPr>
                <w:t>ww.vaboard.org</w:t>
              </w:r>
            </w:hyperlink>
          </w:p>
        </w:tc>
      </w:tr>
      <w:tr w:rsidR="00EF49D0" w:rsidTr="005E4DE9">
        <w:trPr>
          <w:trHeight w:val="200"/>
        </w:trPr>
        <w:tc>
          <w:tcPr>
            <w:tcW w:w="2538" w:type="dxa"/>
          </w:tcPr>
          <w:p w:rsidR="00EF49D0" w:rsidRDefault="005E4DE9">
            <w:pPr>
              <w:pStyle w:val="TableParagraph"/>
              <w:ind w:left="200"/>
              <w:rPr>
                <w:i/>
                <w:sz w:val="20"/>
              </w:rPr>
            </w:pPr>
            <w:r>
              <w:rPr>
                <w:i/>
                <w:color w:val="365F91"/>
                <w:sz w:val="20"/>
              </w:rPr>
              <w:t>Secretary</w:t>
            </w:r>
          </w:p>
        </w:tc>
        <w:tc>
          <w:tcPr>
            <w:tcW w:w="5310" w:type="dxa"/>
          </w:tcPr>
          <w:p w:rsidR="00EF49D0" w:rsidRDefault="00EF49D0">
            <w:pPr>
              <w:pStyle w:val="TableParagraph"/>
              <w:spacing w:line="240" w:lineRule="auto"/>
              <w:rPr>
                <w:rFonts w:ascii="Times New Roman"/>
                <w:sz w:val="12"/>
              </w:rPr>
            </w:pPr>
          </w:p>
        </w:tc>
        <w:tc>
          <w:tcPr>
            <w:tcW w:w="2775" w:type="dxa"/>
          </w:tcPr>
          <w:p w:rsidR="00EF49D0" w:rsidRDefault="00EF49D0">
            <w:pPr>
              <w:pStyle w:val="TableParagraph"/>
              <w:spacing w:line="240" w:lineRule="auto"/>
              <w:rPr>
                <w:rFonts w:ascii="Times New Roman"/>
                <w:sz w:val="12"/>
              </w:rPr>
            </w:pPr>
          </w:p>
        </w:tc>
      </w:tr>
      <w:tr w:rsidR="00EF49D0" w:rsidTr="005E4DE9">
        <w:trPr>
          <w:trHeight w:val="180"/>
        </w:trPr>
        <w:tc>
          <w:tcPr>
            <w:tcW w:w="2538" w:type="dxa"/>
          </w:tcPr>
          <w:p w:rsidR="00EF49D0" w:rsidRDefault="005E4DE9">
            <w:pPr>
              <w:pStyle w:val="TableParagraph"/>
              <w:spacing w:line="179" w:lineRule="exact"/>
              <w:ind w:left="200"/>
              <w:rPr>
                <w:b/>
                <w:sz w:val="20"/>
              </w:rPr>
            </w:pPr>
            <w:r>
              <w:rPr>
                <w:b/>
                <w:color w:val="365F91"/>
                <w:sz w:val="20"/>
              </w:rPr>
              <w:t>Heidi L. Lawyer</w:t>
            </w:r>
          </w:p>
        </w:tc>
        <w:tc>
          <w:tcPr>
            <w:tcW w:w="5310" w:type="dxa"/>
          </w:tcPr>
          <w:p w:rsidR="00EF49D0" w:rsidRDefault="00EF49D0">
            <w:pPr>
              <w:pStyle w:val="TableParagraph"/>
              <w:spacing w:line="240" w:lineRule="auto"/>
              <w:rPr>
                <w:rFonts w:ascii="Times New Roman"/>
                <w:sz w:val="12"/>
              </w:rPr>
            </w:pPr>
          </w:p>
        </w:tc>
        <w:tc>
          <w:tcPr>
            <w:tcW w:w="2775" w:type="dxa"/>
          </w:tcPr>
          <w:p w:rsidR="00EF49D0" w:rsidRDefault="00EF49D0">
            <w:pPr>
              <w:pStyle w:val="TableParagraph"/>
              <w:spacing w:line="240" w:lineRule="auto"/>
              <w:rPr>
                <w:rFonts w:ascii="Times New Roman"/>
                <w:sz w:val="12"/>
              </w:rPr>
            </w:pPr>
          </w:p>
        </w:tc>
      </w:tr>
      <w:tr w:rsidR="00EF49D0" w:rsidTr="005E4DE9">
        <w:trPr>
          <w:trHeight w:val="180"/>
        </w:trPr>
        <w:tc>
          <w:tcPr>
            <w:tcW w:w="2538" w:type="dxa"/>
          </w:tcPr>
          <w:p w:rsidR="00EF49D0" w:rsidRDefault="005E4DE9">
            <w:pPr>
              <w:pStyle w:val="TableParagraph"/>
              <w:spacing w:line="179" w:lineRule="exact"/>
              <w:ind w:left="200"/>
              <w:rPr>
                <w:i/>
                <w:sz w:val="20"/>
              </w:rPr>
            </w:pPr>
            <w:r>
              <w:rPr>
                <w:i/>
                <w:color w:val="365F91"/>
                <w:sz w:val="20"/>
              </w:rPr>
              <w:t>Executive Director</w:t>
            </w:r>
          </w:p>
        </w:tc>
        <w:tc>
          <w:tcPr>
            <w:tcW w:w="5310" w:type="dxa"/>
          </w:tcPr>
          <w:p w:rsidR="00EF49D0" w:rsidRDefault="00EF49D0">
            <w:pPr>
              <w:pStyle w:val="TableParagraph"/>
              <w:spacing w:line="240" w:lineRule="auto"/>
              <w:rPr>
                <w:rFonts w:ascii="Times New Roman"/>
                <w:sz w:val="12"/>
              </w:rPr>
            </w:pPr>
          </w:p>
        </w:tc>
        <w:tc>
          <w:tcPr>
            <w:tcW w:w="2775" w:type="dxa"/>
          </w:tcPr>
          <w:p w:rsidR="00EF49D0" w:rsidRDefault="00EF49D0">
            <w:pPr>
              <w:pStyle w:val="TableParagraph"/>
              <w:spacing w:line="240" w:lineRule="auto"/>
              <w:rPr>
                <w:rFonts w:ascii="Times New Roman"/>
                <w:sz w:val="12"/>
              </w:rPr>
            </w:pPr>
          </w:p>
        </w:tc>
      </w:tr>
    </w:tbl>
    <w:p w:rsidR="00EF49D0" w:rsidRDefault="005E4DE9">
      <w:pPr>
        <w:pStyle w:val="BodyText"/>
        <w:ind w:left="3057" w:right="3594"/>
        <w:jc w:val="center"/>
      </w:pPr>
      <w:r>
        <w:t>August 19, 2014</w:t>
      </w:r>
    </w:p>
    <w:p w:rsidR="00EF49D0" w:rsidRDefault="00EF49D0">
      <w:pPr>
        <w:pStyle w:val="BodyText"/>
      </w:pPr>
    </w:p>
    <w:p w:rsidR="00EF49D0" w:rsidRDefault="00EF49D0">
      <w:pPr>
        <w:pStyle w:val="BodyText"/>
        <w:spacing w:before="9"/>
        <w:rPr>
          <w:sz w:val="25"/>
        </w:rPr>
      </w:pPr>
      <w:bookmarkStart w:id="0" w:name="_GoBack"/>
      <w:bookmarkEnd w:id="0"/>
    </w:p>
    <w:p w:rsidR="00EF49D0" w:rsidRDefault="005E4DE9">
      <w:pPr>
        <w:pStyle w:val="BodyText"/>
        <w:tabs>
          <w:tab w:val="left" w:pos="1020"/>
        </w:tabs>
        <w:spacing w:line="244" w:lineRule="auto"/>
        <w:ind w:left="1020" w:right="2252" w:hanging="720"/>
      </w:pPr>
      <w:r>
        <w:t>TO:</w:t>
      </w:r>
      <w:r>
        <w:tab/>
        <w:t>Adam Sass, Employment Services Coordinator, Dept. of Behavioral</w:t>
      </w:r>
      <w:r>
        <w:rPr>
          <w:spacing w:val="-23"/>
        </w:rPr>
        <w:t xml:space="preserve"> </w:t>
      </w:r>
      <w:r>
        <w:t>Health</w:t>
      </w:r>
      <w:r>
        <w:rPr>
          <w:spacing w:val="-6"/>
        </w:rPr>
        <w:t xml:space="preserve"> </w:t>
      </w:r>
      <w:r>
        <w:t>and Developmental Services</w:t>
      </w:r>
      <w:r>
        <w:rPr>
          <w:spacing w:val="-12"/>
        </w:rPr>
        <w:t xml:space="preserve"> </w:t>
      </w:r>
      <w:r>
        <w:t>(DBHDS)</w:t>
      </w:r>
    </w:p>
    <w:p w:rsidR="00EF49D0" w:rsidRDefault="005E4DE9">
      <w:pPr>
        <w:pStyle w:val="BodyText"/>
        <w:spacing w:line="691" w:lineRule="exact"/>
        <w:ind w:left="300"/>
      </w:pPr>
      <w:r>
        <w:rPr>
          <w:position w:val="1"/>
        </w:rPr>
        <w:t>FROM: Heidi L.</w:t>
      </w:r>
      <w:r>
        <w:rPr>
          <w:spacing w:val="-10"/>
          <w:position w:val="1"/>
        </w:rPr>
        <w:t xml:space="preserve"> </w:t>
      </w:r>
      <w:r>
        <w:rPr>
          <w:position w:val="1"/>
        </w:rPr>
        <w:t xml:space="preserve">Lawyer </w:t>
      </w:r>
      <w:r>
        <w:rPr>
          <w:noProof/>
          <w:spacing w:val="-25"/>
        </w:rPr>
        <w:drawing>
          <wp:inline distT="0" distB="0" distL="0" distR="0">
            <wp:extent cx="975194" cy="408051"/>
            <wp:effectExtent l="0" t="0" r="0" b="0"/>
            <wp:docPr id="3" name="image2.jpe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75194" cy="408051"/>
                    </a:xfrm>
                    <a:prstGeom prst="rect">
                      <a:avLst/>
                    </a:prstGeom>
                  </pic:spPr>
                </pic:pic>
              </a:graphicData>
            </a:graphic>
          </wp:inline>
        </w:drawing>
      </w:r>
    </w:p>
    <w:p w:rsidR="00EF49D0" w:rsidRDefault="005E4DE9">
      <w:pPr>
        <w:tabs>
          <w:tab w:val="left" w:pos="1020"/>
        </w:tabs>
        <w:spacing w:before="314" w:line="491" w:lineRule="auto"/>
        <w:ind w:left="300" w:right="5059"/>
        <w:rPr>
          <w:i/>
          <w:sz w:val="24"/>
        </w:rPr>
      </w:pPr>
      <w:r>
        <w:rPr>
          <w:sz w:val="24"/>
        </w:rPr>
        <w:t>CC:</w:t>
      </w:r>
      <w:r>
        <w:rPr>
          <w:sz w:val="24"/>
        </w:rPr>
        <w:tab/>
        <w:t>Connie Cochran, Assistant</w:t>
      </w:r>
      <w:r>
        <w:rPr>
          <w:spacing w:val="-19"/>
          <w:sz w:val="24"/>
        </w:rPr>
        <w:t xml:space="preserve"> </w:t>
      </w:r>
      <w:r>
        <w:rPr>
          <w:sz w:val="24"/>
        </w:rPr>
        <w:t>Commissioner,</w:t>
      </w:r>
      <w:r>
        <w:rPr>
          <w:spacing w:val="-7"/>
          <w:sz w:val="24"/>
        </w:rPr>
        <w:t xml:space="preserve"> </w:t>
      </w:r>
      <w:r>
        <w:rPr>
          <w:sz w:val="24"/>
        </w:rPr>
        <w:t>DBHDS RE:</w:t>
      </w:r>
      <w:r>
        <w:rPr>
          <w:sz w:val="24"/>
        </w:rPr>
        <w:tab/>
        <w:t xml:space="preserve">Draft </w:t>
      </w:r>
      <w:r>
        <w:rPr>
          <w:i/>
          <w:sz w:val="24"/>
        </w:rPr>
        <w:t>Integrated Day Activity</w:t>
      </w:r>
      <w:r>
        <w:rPr>
          <w:i/>
          <w:spacing w:val="-12"/>
          <w:sz w:val="24"/>
        </w:rPr>
        <w:t xml:space="preserve"> </w:t>
      </w:r>
      <w:r>
        <w:rPr>
          <w:i/>
          <w:sz w:val="24"/>
        </w:rPr>
        <w:t>Plan</w:t>
      </w:r>
    </w:p>
    <w:p w:rsidR="00EF49D0" w:rsidRDefault="005E4DE9">
      <w:pPr>
        <w:pStyle w:val="BodyText"/>
        <w:spacing w:line="244" w:lineRule="auto"/>
        <w:ind w:left="300" w:right="832" w:firstLine="719"/>
      </w:pPr>
      <w:r>
        <w:t xml:space="preserve">I am writing on behalf of the Virginia Board for People with Disabilities (the Board) to provide written comment on the aforementioned Draft </w:t>
      </w:r>
      <w:r>
        <w:rPr>
          <w:i/>
        </w:rPr>
        <w:t>Integrated Day Activity Plan</w:t>
      </w:r>
      <w:r>
        <w:t>. We appreciate the opportunity to provide comment and look forward to participating on</w:t>
      </w:r>
      <w:r>
        <w:t xml:space="preserve"> a newly formed advisory subgroup on this issue.</w:t>
      </w:r>
    </w:p>
    <w:p w:rsidR="00EF49D0" w:rsidRDefault="00EF49D0">
      <w:pPr>
        <w:pStyle w:val="BodyText"/>
        <w:spacing w:before="10"/>
        <w:rPr>
          <w:sz w:val="19"/>
        </w:rPr>
      </w:pPr>
    </w:p>
    <w:p w:rsidR="00EF49D0" w:rsidRDefault="005E4DE9">
      <w:pPr>
        <w:pStyle w:val="BodyText"/>
        <w:spacing w:line="244" w:lineRule="auto"/>
        <w:ind w:left="300" w:right="792" w:firstLine="719"/>
      </w:pPr>
      <w:r>
        <w:t>The Board is pleased that the Department is moving forward, consistent with requirements in the DOJ Settlement Agreement and Center for Medicare and Medicaid requirements, to cultivate a paradigm shift from</w:t>
      </w:r>
      <w:r>
        <w:t xml:space="preserve"> center based day program activities to individualized, person-centered activities that are meaningful to each individual. We recognize that the plan is a work in progress and that many changes, including rate changes, are needed to effect long-term sustai</w:t>
      </w:r>
      <w:r>
        <w:t>nable change.</w:t>
      </w:r>
    </w:p>
    <w:p w:rsidR="00EF49D0" w:rsidRDefault="00EF49D0">
      <w:pPr>
        <w:pStyle w:val="BodyText"/>
        <w:spacing w:before="9"/>
        <w:rPr>
          <w:sz w:val="19"/>
        </w:rPr>
      </w:pPr>
    </w:p>
    <w:p w:rsidR="00EF49D0" w:rsidRDefault="005E4DE9">
      <w:pPr>
        <w:pStyle w:val="BodyText"/>
        <w:spacing w:line="244" w:lineRule="auto"/>
        <w:ind w:left="300" w:right="853" w:firstLine="432"/>
      </w:pPr>
      <w:r>
        <w:t>The definition and explanation of integrated day activities and the goals and objectives set forth are appropriate. However, it is important to keep in mind that day support currently has two levels – regular and intensive. Intensive is a hi</w:t>
      </w:r>
      <w:r>
        <w:t>gher rate for individuals who need physical assistance with personal care or individuals who have other extensive needs. It will be important to maintain these tiered levels for individuals who require a higher level of support.</w:t>
      </w:r>
    </w:p>
    <w:p w:rsidR="00EF49D0" w:rsidRDefault="00EF49D0">
      <w:pPr>
        <w:pStyle w:val="BodyText"/>
        <w:spacing w:before="9"/>
        <w:rPr>
          <w:sz w:val="19"/>
        </w:rPr>
      </w:pPr>
    </w:p>
    <w:p w:rsidR="00EF49D0" w:rsidRDefault="005E4DE9">
      <w:pPr>
        <w:pStyle w:val="BodyText"/>
        <w:spacing w:line="244" w:lineRule="auto"/>
        <w:ind w:left="300" w:right="832" w:firstLine="432"/>
      </w:pPr>
      <w:r>
        <w:t>We appreciated the opportu</w:t>
      </w:r>
      <w:r>
        <w:t>nity to have a presentation on the draft plan at the August 13, 2014, DOJ stakeholder meeting and to hear the response dialogue from a provider which has been working to effectively change its model of services from center based to community-based. The Boa</w:t>
      </w:r>
      <w:r>
        <w:t xml:space="preserve">rd shares the concern of the responder (Tonya Fowler, Executive Director, </w:t>
      </w:r>
      <w:proofErr w:type="gramStart"/>
      <w:r>
        <w:t>Arc</w:t>
      </w:r>
      <w:proofErr w:type="gramEnd"/>
      <w:r>
        <w:t xml:space="preserve"> of the Southside)</w:t>
      </w:r>
    </w:p>
    <w:p w:rsidR="00EF49D0" w:rsidRDefault="00EF49D0">
      <w:pPr>
        <w:spacing w:line="244" w:lineRule="auto"/>
        <w:sectPr w:rsidR="00EF49D0">
          <w:type w:val="continuous"/>
          <w:pgSz w:w="12240" w:h="15840"/>
          <w:pgMar w:top="600" w:right="240" w:bottom="280" w:left="1140" w:header="720" w:footer="720" w:gutter="0"/>
          <w:cols w:space="720"/>
        </w:sectPr>
      </w:pPr>
    </w:p>
    <w:p w:rsidR="00EF49D0" w:rsidRDefault="005E4DE9">
      <w:pPr>
        <w:spacing w:before="26"/>
        <w:ind w:left="100"/>
        <w:rPr>
          <w:i/>
          <w:sz w:val="24"/>
        </w:rPr>
      </w:pPr>
      <w:r>
        <w:rPr>
          <w:sz w:val="24"/>
        </w:rPr>
        <w:lastRenderedPageBreak/>
        <w:t xml:space="preserve">VBPD Comments:  Draft </w:t>
      </w:r>
      <w:r>
        <w:rPr>
          <w:i/>
          <w:sz w:val="24"/>
        </w:rPr>
        <w:t>Integrated Day Activity Plan</w:t>
      </w:r>
    </w:p>
    <w:p w:rsidR="00EF49D0" w:rsidRDefault="005E4DE9">
      <w:pPr>
        <w:pStyle w:val="BodyText"/>
        <w:spacing w:before="6"/>
        <w:ind w:left="100"/>
      </w:pPr>
      <w:r>
        <w:t>August 19, 2014</w:t>
      </w:r>
    </w:p>
    <w:p w:rsidR="00EF49D0" w:rsidRDefault="005E4DE9">
      <w:pPr>
        <w:pStyle w:val="BodyText"/>
        <w:spacing w:before="6"/>
        <w:ind w:left="100"/>
      </w:pPr>
      <w:r>
        <w:t>Page 2</w:t>
      </w:r>
    </w:p>
    <w:p w:rsidR="00EF49D0" w:rsidRDefault="00EF49D0">
      <w:pPr>
        <w:pStyle w:val="BodyText"/>
        <w:spacing w:before="12"/>
        <w:rPr>
          <w:sz w:val="15"/>
        </w:rPr>
      </w:pPr>
    </w:p>
    <w:p w:rsidR="00EF49D0" w:rsidRDefault="005E4DE9">
      <w:pPr>
        <w:pStyle w:val="BodyText"/>
        <w:spacing w:before="51" w:line="244" w:lineRule="auto"/>
        <w:ind w:left="100" w:right="114"/>
      </w:pPr>
      <w:proofErr w:type="gramStart"/>
      <w:r>
        <w:t>with</w:t>
      </w:r>
      <w:proofErr w:type="gramEnd"/>
      <w:r>
        <w:t xml:space="preserve"> respect to the proposed 3-1 allowable staffing ratio. While we recognize that this ratio is a proposed maximum, it would likely result in less individualized or person centered services since it would clearly be less expensive to serve more individual</w:t>
      </w:r>
      <w:r>
        <w:t xml:space="preserve">s together. Without distinct restrictions, it is possible that plans will be written that have appropriate language regarding person centered services, but that individuals will continue to be grouped together. The way to break this practice is to require </w:t>
      </w:r>
      <w:r>
        <w:t>that day support be an individual support just as other Waiver services are – attendant, companion, in-home, respite, etc. An individual rate must be set so that the service can be one-to- one. This works for in-home residential and it will work for integr</w:t>
      </w:r>
      <w:r>
        <w:t>ated day/community activities as well. A grouping of three individuals should only be allowed if those three or two) individuals specifically choose to engage in an activity together, at the same time, at the same place on a particular day.</w:t>
      </w:r>
    </w:p>
    <w:p w:rsidR="00EF49D0" w:rsidRDefault="00EF49D0">
      <w:pPr>
        <w:pStyle w:val="BodyText"/>
        <w:spacing w:before="9"/>
        <w:rPr>
          <w:sz w:val="19"/>
        </w:rPr>
      </w:pPr>
    </w:p>
    <w:p w:rsidR="00EF49D0" w:rsidRDefault="005E4DE9">
      <w:pPr>
        <w:pStyle w:val="BodyText"/>
        <w:spacing w:line="244" w:lineRule="auto"/>
        <w:ind w:left="100" w:right="106" w:firstLine="432"/>
      </w:pPr>
      <w:r>
        <w:t>Since the defi</w:t>
      </w:r>
      <w:r>
        <w:t>nition of integrated “day” activities includes evening and weekend activities, we agree with the comments at the DOJ stakeholder meeting that the service itself be renamed, perhaps to integrated community activities. In addition, we believe that as discuss</w:t>
      </w:r>
      <w:r>
        <w:t xml:space="preserve">ion on this plan moves forward, it is also important to look at the entire array of services options available under the waiver. How will </w:t>
      </w:r>
      <w:proofErr w:type="gramStart"/>
      <w:r>
        <w:t>integrated</w:t>
      </w:r>
      <w:proofErr w:type="gramEnd"/>
      <w:r>
        <w:t xml:space="preserve"> day/community activities as a service and support be</w:t>
      </w:r>
      <w:r>
        <w:rPr>
          <w:spacing w:val="-40"/>
        </w:rPr>
        <w:t xml:space="preserve"> </w:t>
      </w:r>
      <w:r>
        <w:t>differentiated from supports available through in-home</w:t>
      </w:r>
      <w:r>
        <w:t xml:space="preserve"> residential services (which have a community component) or companion services? Will there be a consumer directed option for integrated day/community services and will individualized budgets be addressed? Will residential service providers be able to incor</w:t>
      </w:r>
      <w:r>
        <w:t>porate individualized integrated activities into ISPs and be able to bill for those activities? What will be the effect on licensure and what licensure changes will be needed to accommodate these person centered</w:t>
      </w:r>
      <w:r>
        <w:rPr>
          <w:spacing w:val="-8"/>
        </w:rPr>
        <w:t xml:space="preserve"> </w:t>
      </w:r>
      <w:r>
        <w:t>activities?</w:t>
      </w:r>
    </w:p>
    <w:p w:rsidR="00EF49D0" w:rsidRDefault="00EF49D0">
      <w:pPr>
        <w:pStyle w:val="BodyText"/>
        <w:spacing w:before="9"/>
        <w:rPr>
          <w:sz w:val="19"/>
        </w:rPr>
      </w:pPr>
    </w:p>
    <w:p w:rsidR="005E4DE9" w:rsidRDefault="005E4DE9" w:rsidP="005E4DE9">
      <w:pPr>
        <w:pStyle w:val="BodyText"/>
        <w:spacing w:line="244" w:lineRule="auto"/>
        <w:ind w:left="100" w:right="355" w:firstLine="432"/>
      </w:pPr>
      <w:r>
        <w:t>The Board appreciates the oppor</w:t>
      </w:r>
      <w:r>
        <w:t xml:space="preserve">tunity to be a participant in the DOJ Settlement Agreement planning and to provide comments to the draft Implementation Plan. Please contact me at 804- 786-9369 or </w:t>
      </w:r>
      <w:hyperlink r:id="rId9">
        <w:r>
          <w:rPr>
            <w:color w:val="0000FF"/>
            <w:u w:val="single" w:color="0000FF"/>
          </w:rPr>
          <w:t>Heidi.Lawyer@Vbpd.Virginia.gov</w:t>
        </w:r>
        <w:r>
          <w:rPr>
            <w:color w:val="0000FF"/>
          </w:rPr>
          <w:t xml:space="preserve"> </w:t>
        </w:r>
      </w:hyperlink>
      <w:r>
        <w:t>if y</w:t>
      </w:r>
      <w:r>
        <w:t xml:space="preserve">ou have any questions or need additional information on our brief comments. </w:t>
      </w:r>
    </w:p>
    <w:p w:rsidR="00EF49D0" w:rsidRPr="005E4DE9" w:rsidRDefault="00EF49D0" w:rsidP="005E4DE9">
      <w:pPr>
        <w:jc w:val="center"/>
      </w:pPr>
    </w:p>
    <w:sectPr w:rsidR="00EF49D0" w:rsidRPr="005E4DE9">
      <w:pgSz w:w="12240" w:h="15840"/>
      <w:pgMar w:top="700" w:right="10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D0"/>
    <w:rsid w:val="00233E0B"/>
    <w:rsid w:val="005E4DE9"/>
    <w:rsid w:val="00EF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233E0B"/>
    <w:rPr>
      <w:rFonts w:ascii="Tahoma" w:hAnsi="Tahoma" w:cs="Tahoma"/>
      <w:sz w:val="16"/>
      <w:szCs w:val="16"/>
    </w:rPr>
  </w:style>
  <w:style w:type="character" w:customStyle="1" w:styleId="BalloonTextChar">
    <w:name w:val="Balloon Text Char"/>
    <w:basedOn w:val="DefaultParagraphFont"/>
    <w:link w:val="BalloonText"/>
    <w:uiPriority w:val="99"/>
    <w:semiHidden/>
    <w:rsid w:val="00233E0B"/>
    <w:rPr>
      <w:rFonts w:ascii="Tahoma" w:eastAsia="Calibri" w:hAnsi="Tahoma" w:cs="Tahoma"/>
      <w:sz w:val="16"/>
      <w:szCs w:val="16"/>
    </w:rPr>
  </w:style>
  <w:style w:type="table" w:styleId="TableGrid">
    <w:name w:val="Table Grid"/>
    <w:basedOn w:val="TableNormal"/>
    <w:uiPriority w:val="59"/>
    <w:rsid w:val="005E4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233E0B"/>
    <w:rPr>
      <w:rFonts w:ascii="Tahoma" w:hAnsi="Tahoma" w:cs="Tahoma"/>
      <w:sz w:val="16"/>
      <w:szCs w:val="16"/>
    </w:rPr>
  </w:style>
  <w:style w:type="character" w:customStyle="1" w:styleId="BalloonTextChar">
    <w:name w:val="Balloon Text Char"/>
    <w:basedOn w:val="DefaultParagraphFont"/>
    <w:link w:val="BalloonText"/>
    <w:uiPriority w:val="99"/>
    <w:semiHidden/>
    <w:rsid w:val="00233E0B"/>
    <w:rPr>
      <w:rFonts w:ascii="Tahoma" w:eastAsia="Calibri" w:hAnsi="Tahoma" w:cs="Tahoma"/>
      <w:sz w:val="16"/>
      <w:szCs w:val="16"/>
    </w:rPr>
  </w:style>
  <w:style w:type="table" w:styleId="TableGrid">
    <w:name w:val="Table Grid"/>
    <w:basedOn w:val="TableNormal"/>
    <w:uiPriority w:val="59"/>
    <w:rsid w:val="005E4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vaboard.org/" TargetMode="External"/><Relationship Id="rId12"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hyperlink" Target="mailto:info@vbpd.virginia.gov" TargetMode="External"/><Relationship Id="rId11"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idi.Lawyer@Vbpd.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NKAHMF2WWKTP-399312027-2064</_dlc_DocId>
    <_dlc_DocIdUrl xmlns="89461f00-0b74-46d7-ba90-7a84aa4e2ee4">
      <Url>https://sharepoint.wwrc.net/VBPDdocs/_layouts/15/DocIdRedir.aspx?ID=NKAHMF2WWKTP-399312027-2064</Url>
      <Description>NKAHMF2WWKTP-399312027-2064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C79040-0EB6-4986-A9C7-A04FE9229B88}"/>
</file>

<file path=customXml/itemProps2.xml><?xml version="1.0" encoding="utf-8"?>
<ds:datastoreItem xmlns:ds="http://schemas.openxmlformats.org/officeDocument/2006/customXml" ds:itemID="{E9451038-7F73-4C31-8A91-B8A5E7C02FEC}"/>
</file>

<file path=customXml/itemProps3.xml><?xml version="1.0" encoding="utf-8"?>
<ds:datastoreItem xmlns:ds="http://schemas.openxmlformats.org/officeDocument/2006/customXml" ds:itemID="{BDCE6E41-36AE-4C64-A834-E4EAF2237D71}"/>
</file>

<file path=customXml/itemProps4.xml><?xml version="1.0" encoding="utf-8"?>
<ds:datastoreItem xmlns:ds="http://schemas.openxmlformats.org/officeDocument/2006/customXml" ds:itemID="{5769949E-FF80-4480-83D8-179BC8A89A08}"/>
</file>

<file path=customXml/itemProps5.xml><?xml version="1.0" encoding="utf-8"?>
<ds:datastoreItem xmlns:ds="http://schemas.openxmlformats.org/officeDocument/2006/customXml" ds:itemID="{83B9222F-6C8E-4854-A01E-20B193AF2930}"/>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EJH</dc:creator>
  <cp:lastModifiedBy>Jarvela, Benjamin (VBPD)</cp:lastModifiedBy>
  <cp:revision>3</cp:revision>
  <dcterms:created xsi:type="dcterms:W3CDTF">2017-07-24T15:31:00Z</dcterms:created>
  <dcterms:modified xsi:type="dcterms:W3CDTF">2017-07-24T15:34:00Z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2014-08-21T00:00:00Z</vt:filetime>
  </property>
  <property fmtid="{D5CDD505-2E9C-101B-9397-08002B2CF9AE}" pid="3" name="Creator">
    <vt:lpwstr>Microsoft® Office Word 2007</vt:lpwstr>
  </property>
  <property fmtid="{D5CDD505-2E9C-101B-9397-08002B2CF9AE}" pid="4" name="LastSaved">
    <vt:filetime>2017-07-24T00:00:00Z</vt:filetime>
  </property>
  <property fmtid="{D5CDD505-2E9C-101B-9397-08002B2CF9AE}" pid="5" name="ContentTypeId">
    <vt:lpwstr>0x0101009A83348A73B2104AA43CA6202EED0D55</vt:lpwstr>
  </property>
  <property fmtid="{D5CDD505-2E9C-101B-9397-08002B2CF9AE}" pid="6" name="_dlc_DocIdItemGuid">
    <vt:lpwstr>04c76669-f79b-4603-a0e4-f5d20f9ba257</vt:lpwstr>
  </property>
</Properties>
</file>