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1D429" w14:textId="11450728" w:rsidR="009E282C" w:rsidRPr="00F01A12" w:rsidRDefault="00F01A12" w:rsidP="00F01A12">
      <w:pPr>
        <w:spacing w:after="0" w:line="200" w:lineRule="exact"/>
        <w:contextualSpacing/>
        <w:rPr>
          <w:rFonts w:ascii="Calibri" w:eastAsia="Calibri" w:hAnsi="Calibri" w:cs="Times New Roman"/>
          <w:i/>
          <w:color w:val="365F91"/>
          <w:sz w:val="20"/>
          <w:szCs w:val="20"/>
        </w:rPr>
      </w:pPr>
      <w:bookmarkStart w:id="0" w:name="_GoBack"/>
      <w:r w:rsidRPr="00F01A12">
        <w:rPr>
          <w:rFonts w:ascii="Calibri" w:eastAsia="Calibri" w:hAnsi="Calibri" w:cs="Times New Roman"/>
          <w:i/>
          <w:noProof/>
          <w:color w:val="365F91"/>
          <w:sz w:val="20"/>
          <w:szCs w:val="20"/>
        </w:rPr>
        <w:drawing>
          <wp:anchor distT="0" distB="0" distL="114300" distR="114300" simplePos="0" relativeHeight="251659264" behindDoc="0" locked="0" layoutInCell="0" allowOverlap="0" wp14:anchorId="5EB13BB7" wp14:editId="138A243F">
            <wp:simplePos x="0" y="0"/>
            <wp:positionH relativeFrom="page">
              <wp:posOffset>3457575</wp:posOffset>
            </wp:positionH>
            <wp:positionV relativeFrom="page">
              <wp:posOffset>388620</wp:posOffset>
            </wp:positionV>
            <wp:extent cx="914400" cy="902335"/>
            <wp:effectExtent l="0" t="0" r="0" b="0"/>
            <wp:wrapSquare wrapText="bothSides"/>
            <wp:docPr id="1" name="Picture 2" descr="Seal Reflex Blue from Chris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Reflex Blue from Chris Mason"/>
                    <pic:cNvPicPr>
                      <a:picLocks noChangeAspect="1" noChangeArrowheads="1"/>
                    </pic:cNvPicPr>
                  </pic:nvPicPr>
                  <pic:blipFill>
                    <a:blip r:embed="rId8" cstate="print"/>
                    <a:srcRect/>
                    <a:stretch>
                      <a:fillRect/>
                    </a:stretch>
                  </pic:blipFill>
                  <pic:spPr bwMode="auto">
                    <a:xfrm>
                      <a:off x="0" y="0"/>
                      <a:ext cx="914400" cy="902335"/>
                    </a:xfrm>
                    <a:prstGeom prst="rect">
                      <a:avLst/>
                    </a:prstGeom>
                    <a:noFill/>
                  </pic:spPr>
                </pic:pic>
              </a:graphicData>
            </a:graphic>
          </wp:anchor>
        </w:drawing>
      </w:r>
      <w:bookmarkEnd w:id="0"/>
    </w:p>
    <w:p w14:paraId="092167B2" w14:textId="77777777" w:rsidR="00F01A12" w:rsidRPr="00F01A12" w:rsidRDefault="00F01A12" w:rsidP="00F01A12">
      <w:pPr>
        <w:spacing w:after="0" w:line="200" w:lineRule="exact"/>
        <w:contextualSpacing/>
        <w:rPr>
          <w:rFonts w:ascii="Calibri" w:eastAsia="Calibri" w:hAnsi="Calibri" w:cs="Times New Roman"/>
          <w:i/>
          <w:color w:val="365F91"/>
          <w:sz w:val="20"/>
          <w:szCs w:val="20"/>
        </w:rPr>
      </w:pPr>
    </w:p>
    <w:p w14:paraId="6193D780" w14:textId="77777777" w:rsidR="00F01A12" w:rsidRPr="00F01A12" w:rsidRDefault="00F01A12" w:rsidP="00F01A12">
      <w:pPr>
        <w:spacing w:after="0" w:line="200" w:lineRule="exact"/>
        <w:contextualSpacing/>
        <w:rPr>
          <w:rFonts w:ascii="Calibri" w:eastAsia="Calibri" w:hAnsi="Calibri" w:cs="Times New Roman"/>
          <w:i/>
          <w:color w:val="365F91"/>
          <w:sz w:val="20"/>
          <w:szCs w:val="20"/>
        </w:rPr>
      </w:pPr>
    </w:p>
    <w:p w14:paraId="7FBF4068" w14:textId="77777777" w:rsidR="00F01A12" w:rsidRPr="00F01A12" w:rsidRDefault="00F01A12" w:rsidP="00F01A12">
      <w:pPr>
        <w:tabs>
          <w:tab w:val="center" w:pos="4680"/>
        </w:tabs>
        <w:spacing w:after="0" w:line="300" w:lineRule="exact"/>
        <w:contextualSpacing/>
        <w:jc w:val="center"/>
        <w:rPr>
          <w:rFonts w:ascii="Copperplate Gothic Light" w:eastAsia="Calibri" w:hAnsi="Copperplate Gothic Light" w:cs="Arial"/>
          <w:color w:val="00539F"/>
          <w:sz w:val="24"/>
          <w:szCs w:val="24"/>
        </w:rPr>
      </w:pPr>
      <w:r w:rsidRPr="00F01A12">
        <w:rPr>
          <w:rFonts w:ascii="Copperplate Gothic Light" w:eastAsia="Calibri" w:hAnsi="Copperplate Gothic Light" w:cs="Arial"/>
          <w:color w:val="00539F"/>
          <w:sz w:val="24"/>
          <w:szCs w:val="24"/>
        </w:rPr>
        <w:t>Commonwealth of Virginia</w:t>
      </w:r>
    </w:p>
    <w:p w14:paraId="6716E019" w14:textId="77777777" w:rsidR="00F01A12" w:rsidRPr="00F01A12" w:rsidRDefault="00F01A12" w:rsidP="00F01A12">
      <w:pPr>
        <w:tabs>
          <w:tab w:val="center" w:pos="4680"/>
        </w:tabs>
        <w:spacing w:after="0" w:line="300" w:lineRule="exact"/>
        <w:contextualSpacing/>
        <w:jc w:val="center"/>
        <w:rPr>
          <w:rFonts w:ascii="Minion Pro" w:eastAsia="Calibri" w:hAnsi="Minion Pro" w:cs="Arial"/>
          <w:i/>
          <w:color w:val="00539F"/>
          <w:sz w:val="24"/>
          <w:szCs w:val="24"/>
        </w:rPr>
      </w:pPr>
      <w:r w:rsidRPr="00F01A12">
        <w:rPr>
          <w:rFonts w:ascii="Minion Pro" w:eastAsia="Calibri" w:hAnsi="Minion Pro" w:cs="Arial"/>
          <w:i/>
          <w:color w:val="00539F"/>
          <w:sz w:val="24"/>
          <w:szCs w:val="24"/>
        </w:rPr>
        <w:t>Virginia Board for People with Disabilities</w:t>
      </w:r>
    </w:p>
    <w:p w14:paraId="73A004E8" w14:textId="77777777" w:rsidR="00F01A12" w:rsidRPr="00F01A12" w:rsidRDefault="00F01A12" w:rsidP="00F01A12">
      <w:pPr>
        <w:tabs>
          <w:tab w:val="center" w:pos="4680"/>
        </w:tabs>
        <w:spacing w:after="0" w:line="300" w:lineRule="exact"/>
        <w:contextualSpacing/>
        <w:rPr>
          <w:rFonts w:ascii="Copperplate Gothic Light" w:eastAsia="Calibri" w:hAnsi="Copperplate Gothic Light" w:cs="Arial"/>
          <w:color w:val="00539F"/>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BPD Contact Info"/>
      </w:tblPr>
      <w:tblGrid>
        <w:gridCol w:w="2970"/>
        <w:gridCol w:w="3510"/>
        <w:gridCol w:w="3240"/>
      </w:tblGrid>
      <w:tr w:rsidR="00F01A12" w:rsidRPr="00F01A12" w14:paraId="17A8EA58" w14:textId="77777777" w:rsidTr="009E282C">
        <w:trPr>
          <w:tblHeader/>
        </w:trPr>
        <w:tc>
          <w:tcPr>
            <w:tcW w:w="2970" w:type="dxa"/>
          </w:tcPr>
          <w:p w14:paraId="5CE932B6" w14:textId="77777777" w:rsidR="00F01A12" w:rsidRPr="00F01A12" w:rsidRDefault="00647D7A" w:rsidP="00F01A12">
            <w:pPr>
              <w:spacing w:line="200" w:lineRule="exact"/>
              <w:contextualSpacing/>
              <w:rPr>
                <w:rFonts w:ascii="Calibri" w:eastAsia="Calibri" w:hAnsi="Calibri" w:cs="Times New Roman"/>
                <w:b/>
                <w:color w:val="365F91"/>
                <w:sz w:val="20"/>
                <w:szCs w:val="20"/>
              </w:rPr>
            </w:pPr>
            <w:r>
              <w:rPr>
                <w:rFonts w:ascii="Calibri" w:eastAsia="Calibri" w:hAnsi="Calibri" w:cs="Times New Roman"/>
                <w:b/>
                <w:color w:val="365F91"/>
                <w:sz w:val="20"/>
                <w:szCs w:val="20"/>
              </w:rPr>
              <w:t>Mary McAdam</w:t>
            </w:r>
          </w:p>
        </w:tc>
        <w:tc>
          <w:tcPr>
            <w:tcW w:w="3510" w:type="dxa"/>
          </w:tcPr>
          <w:p w14:paraId="794B68D3" w14:textId="77777777" w:rsidR="00F01A12" w:rsidRPr="00F01A12" w:rsidRDefault="00F01A12" w:rsidP="00F01A12">
            <w:pPr>
              <w:spacing w:line="200" w:lineRule="exact"/>
              <w:contextualSpacing/>
              <w:jc w:val="center"/>
              <w:rPr>
                <w:rFonts w:ascii="Calibri" w:eastAsia="Calibri" w:hAnsi="Calibri" w:cs="Times New Roman"/>
                <w:i/>
                <w:color w:val="365F91"/>
                <w:sz w:val="20"/>
                <w:szCs w:val="20"/>
              </w:rPr>
            </w:pPr>
            <w:r w:rsidRPr="00F01A12">
              <w:rPr>
                <w:rFonts w:ascii="Calibri" w:eastAsia="Calibri" w:hAnsi="Calibri" w:cs="Times New Roman"/>
                <w:i/>
                <w:color w:val="365F91"/>
                <w:sz w:val="20"/>
                <w:szCs w:val="20"/>
              </w:rPr>
              <w:t>Washington Building, Capitol Square</w:t>
            </w:r>
          </w:p>
        </w:tc>
        <w:tc>
          <w:tcPr>
            <w:tcW w:w="3240" w:type="dxa"/>
          </w:tcPr>
          <w:p w14:paraId="5D015864" w14:textId="77777777" w:rsidR="00F01A12" w:rsidRPr="00F01A12" w:rsidRDefault="00F01A12" w:rsidP="00F01A12">
            <w:pPr>
              <w:spacing w:line="200" w:lineRule="exact"/>
              <w:contextualSpacing/>
              <w:jc w:val="right"/>
              <w:rPr>
                <w:rFonts w:ascii="Calibri" w:eastAsia="Calibri" w:hAnsi="Calibri" w:cs="Times New Roman"/>
                <w:color w:val="365F91"/>
                <w:sz w:val="20"/>
                <w:szCs w:val="20"/>
              </w:rPr>
            </w:pPr>
            <w:r w:rsidRPr="00F01A12">
              <w:rPr>
                <w:rFonts w:ascii="Calibri" w:eastAsia="Calibri" w:hAnsi="Calibri" w:cs="Times New Roman"/>
                <w:color w:val="365F91"/>
                <w:sz w:val="20"/>
                <w:szCs w:val="20"/>
              </w:rPr>
              <w:t>804-786-0016 (TTY/Voice)</w:t>
            </w:r>
          </w:p>
        </w:tc>
      </w:tr>
      <w:tr w:rsidR="00F01A12" w:rsidRPr="00F01A12" w14:paraId="7B343F8B" w14:textId="77777777" w:rsidTr="009E282C">
        <w:trPr>
          <w:tblHeader/>
        </w:trPr>
        <w:tc>
          <w:tcPr>
            <w:tcW w:w="2970" w:type="dxa"/>
          </w:tcPr>
          <w:p w14:paraId="4632E8AB" w14:textId="77777777" w:rsidR="00F01A12" w:rsidRPr="00F01A12" w:rsidRDefault="00F01A12" w:rsidP="00F01A12">
            <w:pPr>
              <w:spacing w:line="200" w:lineRule="exact"/>
              <w:contextualSpacing/>
              <w:rPr>
                <w:rFonts w:ascii="Calibri" w:eastAsia="Calibri" w:hAnsi="Calibri" w:cs="Times New Roman"/>
                <w:i/>
                <w:color w:val="365F91"/>
                <w:sz w:val="20"/>
                <w:szCs w:val="20"/>
              </w:rPr>
            </w:pPr>
            <w:r w:rsidRPr="00F01A12">
              <w:rPr>
                <w:rFonts w:ascii="Calibri" w:eastAsia="Calibri" w:hAnsi="Calibri" w:cs="Times New Roman"/>
                <w:i/>
                <w:color w:val="365F91"/>
                <w:sz w:val="20"/>
                <w:szCs w:val="20"/>
              </w:rPr>
              <w:t>Chair</w:t>
            </w:r>
          </w:p>
        </w:tc>
        <w:tc>
          <w:tcPr>
            <w:tcW w:w="3510" w:type="dxa"/>
          </w:tcPr>
          <w:p w14:paraId="2A14B287" w14:textId="77777777" w:rsidR="00F01A12" w:rsidRPr="00F01A12" w:rsidRDefault="00F01A12" w:rsidP="00F01A12">
            <w:pPr>
              <w:spacing w:line="200" w:lineRule="exact"/>
              <w:contextualSpacing/>
              <w:jc w:val="center"/>
              <w:rPr>
                <w:rFonts w:ascii="Calibri" w:eastAsia="Calibri" w:hAnsi="Calibri" w:cs="Times New Roman"/>
                <w:i/>
                <w:color w:val="365F91"/>
                <w:sz w:val="20"/>
                <w:szCs w:val="20"/>
              </w:rPr>
            </w:pPr>
            <w:r w:rsidRPr="00F01A12">
              <w:rPr>
                <w:rFonts w:ascii="Calibri" w:eastAsia="Calibri" w:hAnsi="Calibri" w:cs="Times New Roman"/>
                <w:i/>
                <w:color w:val="365F91"/>
                <w:sz w:val="20"/>
                <w:szCs w:val="20"/>
              </w:rPr>
              <w:t>1100 Bank Street, 7th Floor</w:t>
            </w:r>
          </w:p>
        </w:tc>
        <w:tc>
          <w:tcPr>
            <w:tcW w:w="3240" w:type="dxa"/>
          </w:tcPr>
          <w:p w14:paraId="7711A6AD" w14:textId="77777777" w:rsidR="00F01A12" w:rsidRPr="00F01A12" w:rsidRDefault="00F01A12" w:rsidP="00F01A12">
            <w:pPr>
              <w:spacing w:line="200" w:lineRule="exact"/>
              <w:contextualSpacing/>
              <w:jc w:val="right"/>
              <w:rPr>
                <w:rFonts w:ascii="Calibri" w:eastAsia="Calibri" w:hAnsi="Calibri" w:cs="Times New Roman"/>
                <w:color w:val="365F91"/>
                <w:sz w:val="20"/>
                <w:szCs w:val="20"/>
              </w:rPr>
            </w:pPr>
            <w:r w:rsidRPr="00F01A12">
              <w:rPr>
                <w:rFonts w:ascii="Calibri" w:eastAsia="Calibri" w:hAnsi="Calibri" w:cs="Times New Roman"/>
                <w:color w:val="365F91"/>
                <w:sz w:val="20"/>
                <w:szCs w:val="20"/>
              </w:rPr>
              <w:t>1-800-846-4464 (TTY/ Voice)</w:t>
            </w:r>
          </w:p>
        </w:tc>
      </w:tr>
      <w:tr w:rsidR="00F01A12" w:rsidRPr="00F01A12" w14:paraId="591FF38B" w14:textId="77777777" w:rsidTr="009E282C">
        <w:trPr>
          <w:tblHeader/>
        </w:trPr>
        <w:tc>
          <w:tcPr>
            <w:tcW w:w="2970" w:type="dxa"/>
          </w:tcPr>
          <w:p w14:paraId="1E76ABB6" w14:textId="77777777" w:rsidR="00F01A12" w:rsidRPr="00F01A12" w:rsidRDefault="00647D7A" w:rsidP="00F01A12">
            <w:pPr>
              <w:spacing w:line="200" w:lineRule="exact"/>
              <w:contextualSpacing/>
              <w:rPr>
                <w:rFonts w:ascii="Calibri" w:eastAsia="Calibri" w:hAnsi="Calibri" w:cs="Times New Roman"/>
                <w:b/>
                <w:color w:val="365F91"/>
                <w:sz w:val="20"/>
                <w:szCs w:val="20"/>
              </w:rPr>
            </w:pPr>
            <w:r>
              <w:rPr>
                <w:rFonts w:ascii="Calibri" w:eastAsia="Calibri" w:hAnsi="Calibri" w:cs="Times New Roman"/>
                <w:b/>
                <w:color w:val="365F91"/>
                <w:sz w:val="20"/>
                <w:szCs w:val="20"/>
              </w:rPr>
              <w:t>Phillip Caldwell</w:t>
            </w:r>
          </w:p>
        </w:tc>
        <w:tc>
          <w:tcPr>
            <w:tcW w:w="3510" w:type="dxa"/>
          </w:tcPr>
          <w:p w14:paraId="49A63477" w14:textId="77777777" w:rsidR="00F01A12" w:rsidRPr="00F01A12" w:rsidRDefault="00F01A12" w:rsidP="00F01A12">
            <w:pPr>
              <w:spacing w:line="200" w:lineRule="exact"/>
              <w:contextualSpacing/>
              <w:jc w:val="center"/>
              <w:rPr>
                <w:rFonts w:ascii="Calibri" w:eastAsia="Calibri" w:hAnsi="Calibri" w:cs="Times New Roman"/>
                <w:i/>
                <w:color w:val="365F91"/>
                <w:sz w:val="20"/>
                <w:szCs w:val="20"/>
              </w:rPr>
            </w:pPr>
            <w:r w:rsidRPr="00F01A12">
              <w:rPr>
                <w:rFonts w:ascii="Calibri" w:eastAsia="Calibri" w:hAnsi="Calibri" w:cs="Times New Roman"/>
                <w:i/>
                <w:color w:val="365F91"/>
                <w:sz w:val="20"/>
                <w:szCs w:val="20"/>
              </w:rPr>
              <w:t>Richmond, Virginia  23219</w:t>
            </w:r>
          </w:p>
        </w:tc>
        <w:tc>
          <w:tcPr>
            <w:tcW w:w="3240" w:type="dxa"/>
          </w:tcPr>
          <w:p w14:paraId="0837A0C9" w14:textId="77777777" w:rsidR="00F01A12" w:rsidRPr="00F01A12" w:rsidRDefault="00F01A12" w:rsidP="00F01A12">
            <w:pPr>
              <w:spacing w:line="200" w:lineRule="exact"/>
              <w:contextualSpacing/>
              <w:jc w:val="right"/>
              <w:rPr>
                <w:rFonts w:ascii="Calibri" w:eastAsia="Calibri" w:hAnsi="Calibri" w:cs="Times New Roman"/>
                <w:color w:val="365F91"/>
                <w:sz w:val="20"/>
                <w:szCs w:val="20"/>
              </w:rPr>
            </w:pPr>
            <w:r w:rsidRPr="00F01A12">
              <w:rPr>
                <w:rFonts w:ascii="Calibri" w:eastAsia="Calibri" w:hAnsi="Calibri" w:cs="Times New Roman"/>
                <w:color w:val="365F91"/>
                <w:sz w:val="20"/>
                <w:szCs w:val="20"/>
              </w:rPr>
              <w:t>804-786-1118 (Fax)</w:t>
            </w:r>
          </w:p>
        </w:tc>
      </w:tr>
      <w:tr w:rsidR="00F01A12" w:rsidRPr="00F01A12" w14:paraId="1226288D" w14:textId="77777777" w:rsidTr="009E282C">
        <w:trPr>
          <w:tblHeader/>
        </w:trPr>
        <w:tc>
          <w:tcPr>
            <w:tcW w:w="2970" w:type="dxa"/>
          </w:tcPr>
          <w:p w14:paraId="39CF0200" w14:textId="77777777" w:rsidR="00F01A12" w:rsidRPr="00F01A12" w:rsidRDefault="00F01A12" w:rsidP="00F01A12">
            <w:pPr>
              <w:spacing w:line="200" w:lineRule="exact"/>
              <w:contextualSpacing/>
              <w:rPr>
                <w:rFonts w:ascii="Calibri" w:eastAsia="Calibri" w:hAnsi="Calibri" w:cs="Times New Roman"/>
                <w:i/>
                <w:color w:val="365F91"/>
                <w:sz w:val="20"/>
                <w:szCs w:val="20"/>
              </w:rPr>
            </w:pPr>
            <w:r w:rsidRPr="00F01A12">
              <w:rPr>
                <w:rFonts w:ascii="Calibri" w:eastAsia="Calibri" w:hAnsi="Calibri" w:cs="Times New Roman"/>
                <w:i/>
                <w:color w:val="365F91"/>
                <w:sz w:val="20"/>
                <w:szCs w:val="20"/>
              </w:rPr>
              <w:t>Vice Chair</w:t>
            </w:r>
          </w:p>
        </w:tc>
        <w:tc>
          <w:tcPr>
            <w:tcW w:w="3510" w:type="dxa"/>
          </w:tcPr>
          <w:p w14:paraId="558C800F" w14:textId="77777777" w:rsidR="00F01A12" w:rsidRPr="00F01A12" w:rsidRDefault="00F01A12" w:rsidP="00F01A12">
            <w:pPr>
              <w:spacing w:line="200" w:lineRule="exact"/>
              <w:contextualSpacing/>
              <w:jc w:val="center"/>
              <w:rPr>
                <w:rFonts w:ascii="Calibri" w:eastAsia="Calibri" w:hAnsi="Calibri" w:cs="Times New Roman"/>
                <w:i/>
                <w:color w:val="365F91"/>
                <w:sz w:val="20"/>
                <w:szCs w:val="20"/>
              </w:rPr>
            </w:pPr>
          </w:p>
        </w:tc>
        <w:tc>
          <w:tcPr>
            <w:tcW w:w="3240" w:type="dxa"/>
          </w:tcPr>
          <w:p w14:paraId="0A1992EC" w14:textId="77777777" w:rsidR="00F01A12" w:rsidRPr="00F01A12" w:rsidRDefault="00F01A12" w:rsidP="00F01A12">
            <w:pPr>
              <w:spacing w:line="200" w:lineRule="exact"/>
              <w:contextualSpacing/>
              <w:jc w:val="right"/>
              <w:rPr>
                <w:rFonts w:ascii="Calibri" w:eastAsia="Calibri" w:hAnsi="Calibri" w:cs="Times New Roman"/>
                <w:color w:val="365F91"/>
                <w:sz w:val="20"/>
                <w:szCs w:val="20"/>
              </w:rPr>
            </w:pPr>
            <w:r w:rsidRPr="00F01A12">
              <w:rPr>
                <w:rFonts w:ascii="Calibri" w:eastAsia="Calibri" w:hAnsi="Calibri" w:cs="Times New Roman"/>
                <w:color w:val="365F91"/>
                <w:sz w:val="20"/>
                <w:szCs w:val="20"/>
              </w:rPr>
              <w:t>info@vbpd.virginia.gov</w:t>
            </w:r>
          </w:p>
        </w:tc>
      </w:tr>
      <w:tr w:rsidR="00F01A12" w:rsidRPr="00F01A12" w14:paraId="73F8FF76" w14:textId="77777777" w:rsidTr="009E282C">
        <w:trPr>
          <w:tblHeader/>
        </w:trPr>
        <w:tc>
          <w:tcPr>
            <w:tcW w:w="2970" w:type="dxa"/>
          </w:tcPr>
          <w:p w14:paraId="5CEE6145" w14:textId="77777777" w:rsidR="00F01A12" w:rsidRPr="00F01A12" w:rsidRDefault="00647D7A" w:rsidP="00F01A12">
            <w:pPr>
              <w:spacing w:line="200" w:lineRule="exact"/>
              <w:contextualSpacing/>
              <w:rPr>
                <w:rFonts w:ascii="Calibri" w:eastAsia="Calibri" w:hAnsi="Calibri" w:cs="Times New Roman"/>
                <w:b/>
                <w:color w:val="365F91"/>
                <w:sz w:val="20"/>
                <w:szCs w:val="20"/>
              </w:rPr>
            </w:pPr>
            <w:r>
              <w:rPr>
                <w:rFonts w:ascii="Calibri" w:eastAsia="Calibri" w:hAnsi="Calibri" w:cs="Times New Roman"/>
                <w:b/>
                <w:color w:val="365F91"/>
                <w:sz w:val="20"/>
                <w:szCs w:val="20"/>
              </w:rPr>
              <w:t>Rachel Loughlin</w:t>
            </w:r>
          </w:p>
        </w:tc>
        <w:tc>
          <w:tcPr>
            <w:tcW w:w="3510" w:type="dxa"/>
          </w:tcPr>
          <w:p w14:paraId="401668D0" w14:textId="77777777" w:rsidR="00F01A12" w:rsidRPr="00F01A12" w:rsidRDefault="00F01A12" w:rsidP="00F01A12">
            <w:pPr>
              <w:spacing w:line="200" w:lineRule="exact"/>
              <w:contextualSpacing/>
              <w:jc w:val="center"/>
              <w:rPr>
                <w:rFonts w:ascii="Calibri" w:eastAsia="Calibri" w:hAnsi="Calibri" w:cs="Times New Roman"/>
                <w:i/>
                <w:color w:val="365F91"/>
                <w:sz w:val="20"/>
                <w:szCs w:val="20"/>
              </w:rPr>
            </w:pPr>
          </w:p>
        </w:tc>
        <w:tc>
          <w:tcPr>
            <w:tcW w:w="3240" w:type="dxa"/>
          </w:tcPr>
          <w:p w14:paraId="36BFB7C0" w14:textId="77777777" w:rsidR="00F01A12" w:rsidRPr="00F01A12" w:rsidRDefault="00F01A12" w:rsidP="00F01A12">
            <w:pPr>
              <w:spacing w:line="200" w:lineRule="exact"/>
              <w:contextualSpacing/>
              <w:jc w:val="right"/>
              <w:rPr>
                <w:rFonts w:ascii="Calibri" w:eastAsia="Calibri" w:hAnsi="Calibri" w:cs="Times New Roman"/>
                <w:color w:val="365F91"/>
                <w:sz w:val="20"/>
                <w:szCs w:val="20"/>
              </w:rPr>
            </w:pPr>
            <w:r w:rsidRPr="00F01A12">
              <w:rPr>
                <w:rFonts w:ascii="Calibri" w:eastAsia="Calibri" w:hAnsi="Calibri" w:cs="Times New Roman"/>
                <w:color w:val="365F91"/>
                <w:sz w:val="20"/>
                <w:szCs w:val="20"/>
              </w:rPr>
              <w:t>www.vaboard.org</w:t>
            </w:r>
          </w:p>
        </w:tc>
      </w:tr>
      <w:tr w:rsidR="00F01A12" w:rsidRPr="00F01A12" w14:paraId="6F553965" w14:textId="77777777" w:rsidTr="009E282C">
        <w:trPr>
          <w:tblHeader/>
        </w:trPr>
        <w:tc>
          <w:tcPr>
            <w:tcW w:w="2970" w:type="dxa"/>
          </w:tcPr>
          <w:p w14:paraId="326D5358" w14:textId="77777777" w:rsidR="00F01A12" w:rsidRPr="00F01A12" w:rsidRDefault="00F01A12" w:rsidP="00F01A12">
            <w:pPr>
              <w:spacing w:line="200" w:lineRule="exact"/>
              <w:contextualSpacing/>
              <w:rPr>
                <w:rFonts w:ascii="Calibri" w:eastAsia="Calibri" w:hAnsi="Calibri" w:cs="Times New Roman"/>
                <w:i/>
                <w:color w:val="365F91"/>
                <w:sz w:val="20"/>
                <w:szCs w:val="20"/>
              </w:rPr>
            </w:pPr>
            <w:r w:rsidRPr="00F01A12">
              <w:rPr>
                <w:rFonts w:ascii="Calibri" w:eastAsia="Calibri" w:hAnsi="Calibri" w:cs="Times New Roman"/>
                <w:i/>
                <w:color w:val="365F91"/>
                <w:sz w:val="20"/>
                <w:szCs w:val="20"/>
              </w:rPr>
              <w:t>Secretary</w:t>
            </w:r>
          </w:p>
        </w:tc>
        <w:tc>
          <w:tcPr>
            <w:tcW w:w="3510" w:type="dxa"/>
          </w:tcPr>
          <w:p w14:paraId="27232C04" w14:textId="77777777" w:rsidR="00F01A12" w:rsidRPr="00F01A12" w:rsidRDefault="00F01A12" w:rsidP="00F01A12">
            <w:pPr>
              <w:spacing w:line="200" w:lineRule="exact"/>
              <w:contextualSpacing/>
              <w:jc w:val="center"/>
              <w:rPr>
                <w:rFonts w:ascii="Calibri" w:eastAsia="Calibri" w:hAnsi="Calibri" w:cs="Times New Roman"/>
                <w:i/>
                <w:color w:val="365F91"/>
                <w:sz w:val="20"/>
                <w:szCs w:val="20"/>
              </w:rPr>
            </w:pPr>
          </w:p>
        </w:tc>
        <w:tc>
          <w:tcPr>
            <w:tcW w:w="3240" w:type="dxa"/>
          </w:tcPr>
          <w:p w14:paraId="0B5C4F27" w14:textId="77777777" w:rsidR="00F01A12" w:rsidRPr="00F01A12" w:rsidRDefault="00F01A12" w:rsidP="00F01A12">
            <w:pPr>
              <w:spacing w:line="200" w:lineRule="exact"/>
              <w:contextualSpacing/>
              <w:jc w:val="right"/>
              <w:rPr>
                <w:rFonts w:ascii="Calibri" w:eastAsia="Calibri" w:hAnsi="Calibri" w:cs="Times New Roman"/>
                <w:color w:val="365F91"/>
                <w:sz w:val="20"/>
                <w:szCs w:val="20"/>
              </w:rPr>
            </w:pPr>
          </w:p>
        </w:tc>
      </w:tr>
      <w:tr w:rsidR="00F01A12" w:rsidRPr="00F01A12" w14:paraId="2045F2BA" w14:textId="77777777" w:rsidTr="009E282C">
        <w:trPr>
          <w:tblHeader/>
        </w:trPr>
        <w:tc>
          <w:tcPr>
            <w:tcW w:w="2970" w:type="dxa"/>
          </w:tcPr>
          <w:p w14:paraId="3387DAAB" w14:textId="77777777" w:rsidR="00F01A12" w:rsidRPr="00F01A12" w:rsidRDefault="00F01A12" w:rsidP="00F01A12">
            <w:pPr>
              <w:spacing w:line="200" w:lineRule="exact"/>
              <w:contextualSpacing/>
              <w:rPr>
                <w:rFonts w:ascii="Calibri" w:eastAsia="Calibri" w:hAnsi="Calibri" w:cs="Times New Roman"/>
                <w:b/>
                <w:color w:val="365F91"/>
                <w:sz w:val="20"/>
                <w:szCs w:val="20"/>
              </w:rPr>
            </w:pPr>
            <w:r w:rsidRPr="00F01A12">
              <w:rPr>
                <w:rFonts w:ascii="Calibri" w:eastAsia="Calibri" w:hAnsi="Calibri" w:cs="Times New Roman"/>
                <w:b/>
                <w:color w:val="365F91"/>
                <w:sz w:val="20"/>
                <w:szCs w:val="20"/>
              </w:rPr>
              <w:t>Heidi L. Lawyer</w:t>
            </w:r>
          </w:p>
        </w:tc>
        <w:tc>
          <w:tcPr>
            <w:tcW w:w="3510" w:type="dxa"/>
          </w:tcPr>
          <w:p w14:paraId="7DDC9913" w14:textId="77777777" w:rsidR="00F01A12" w:rsidRPr="00F01A12" w:rsidRDefault="00F01A12" w:rsidP="00F01A12">
            <w:pPr>
              <w:spacing w:line="200" w:lineRule="exact"/>
              <w:contextualSpacing/>
              <w:jc w:val="center"/>
              <w:rPr>
                <w:rFonts w:ascii="Calibri" w:eastAsia="Calibri" w:hAnsi="Calibri" w:cs="Times New Roman"/>
                <w:i/>
                <w:color w:val="365F91"/>
                <w:sz w:val="20"/>
                <w:szCs w:val="20"/>
              </w:rPr>
            </w:pPr>
          </w:p>
        </w:tc>
        <w:tc>
          <w:tcPr>
            <w:tcW w:w="3240" w:type="dxa"/>
          </w:tcPr>
          <w:p w14:paraId="12E96EA2" w14:textId="77777777" w:rsidR="00F01A12" w:rsidRPr="00F01A12" w:rsidRDefault="00F01A12" w:rsidP="00F01A12">
            <w:pPr>
              <w:spacing w:line="200" w:lineRule="exact"/>
              <w:contextualSpacing/>
              <w:jc w:val="right"/>
              <w:rPr>
                <w:rFonts w:ascii="Calibri" w:eastAsia="Calibri" w:hAnsi="Calibri" w:cs="Times New Roman"/>
                <w:color w:val="365F91"/>
                <w:sz w:val="20"/>
                <w:szCs w:val="20"/>
              </w:rPr>
            </w:pPr>
          </w:p>
        </w:tc>
      </w:tr>
      <w:tr w:rsidR="00F01A12" w:rsidRPr="00F01A12" w14:paraId="05BA3B16" w14:textId="77777777" w:rsidTr="009E282C">
        <w:trPr>
          <w:tblHeader/>
        </w:trPr>
        <w:tc>
          <w:tcPr>
            <w:tcW w:w="2970" w:type="dxa"/>
          </w:tcPr>
          <w:p w14:paraId="367D940D" w14:textId="77777777" w:rsidR="00F01A12" w:rsidRPr="00F01A12" w:rsidRDefault="00F01A12" w:rsidP="00F01A12">
            <w:pPr>
              <w:spacing w:line="200" w:lineRule="exact"/>
              <w:contextualSpacing/>
              <w:rPr>
                <w:rFonts w:ascii="Calibri" w:eastAsia="Calibri" w:hAnsi="Calibri" w:cs="Times New Roman"/>
                <w:i/>
                <w:color w:val="365F91"/>
                <w:sz w:val="20"/>
                <w:szCs w:val="20"/>
              </w:rPr>
            </w:pPr>
            <w:r w:rsidRPr="00F01A12">
              <w:rPr>
                <w:rFonts w:ascii="Calibri" w:eastAsia="Calibri" w:hAnsi="Calibri" w:cs="Times New Roman"/>
                <w:i/>
                <w:color w:val="365F91"/>
                <w:sz w:val="20"/>
                <w:szCs w:val="20"/>
              </w:rPr>
              <w:t>Executive Director</w:t>
            </w:r>
          </w:p>
        </w:tc>
        <w:tc>
          <w:tcPr>
            <w:tcW w:w="3510" w:type="dxa"/>
          </w:tcPr>
          <w:p w14:paraId="0AA57F55" w14:textId="77777777" w:rsidR="00F01A12" w:rsidRPr="00F01A12" w:rsidRDefault="00F01A12" w:rsidP="00F01A12">
            <w:pPr>
              <w:spacing w:line="200" w:lineRule="exact"/>
              <w:contextualSpacing/>
              <w:jc w:val="center"/>
              <w:rPr>
                <w:rFonts w:ascii="Calibri" w:eastAsia="Calibri" w:hAnsi="Calibri" w:cs="Times New Roman"/>
                <w:i/>
                <w:color w:val="365F91"/>
                <w:sz w:val="20"/>
                <w:szCs w:val="20"/>
              </w:rPr>
            </w:pPr>
          </w:p>
        </w:tc>
        <w:tc>
          <w:tcPr>
            <w:tcW w:w="3240" w:type="dxa"/>
          </w:tcPr>
          <w:p w14:paraId="0A1293BC" w14:textId="77777777" w:rsidR="00F01A12" w:rsidRPr="00F01A12" w:rsidRDefault="00F01A12" w:rsidP="00F01A12">
            <w:pPr>
              <w:spacing w:line="200" w:lineRule="exact"/>
              <w:contextualSpacing/>
              <w:jc w:val="right"/>
              <w:rPr>
                <w:rFonts w:ascii="Calibri" w:eastAsia="Calibri" w:hAnsi="Calibri" w:cs="Times New Roman"/>
                <w:color w:val="365F91"/>
                <w:sz w:val="20"/>
                <w:szCs w:val="20"/>
              </w:rPr>
            </w:pPr>
          </w:p>
        </w:tc>
      </w:tr>
    </w:tbl>
    <w:p w14:paraId="5427C564" w14:textId="77777777" w:rsidR="00F01A12" w:rsidRPr="00F01A12" w:rsidRDefault="00F01A12" w:rsidP="00F01A12">
      <w:pPr>
        <w:autoSpaceDE w:val="0"/>
        <w:autoSpaceDN w:val="0"/>
        <w:adjustRightInd w:val="0"/>
        <w:spacing w:after="0" w:line="240" w:lineRule="auto"/>
        <w:rPr>
          <w:rFonts w:cs="Calibri"/>
          <w:bCs/>
          <w:color w:val="000000"/>
          <w:sz w:val="24"/>
          <w:szCs w:val="24"/>
        </w:rPr>
      </w:pPr>
    </w:p>
    <w:p w14:paraId="14CC6DD7" w14:textId="3F764D81" w:rsidR="00F01A12" w:rsidRPr="00F01A12" w:rsidRDefault="009421DB" w:rsidP="00F01A12">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 xml:space="preserve">October </w:t>
      </w:r>
      <w:r w:rsidR="004B4C1D">
        <w:rPr>
          <w:rFonts w:cs="Calibri"/>
          <w:bCs/>
          <w:color w:val="000000"/>
          <w:sz w:val="24"/>
          <w:szCs w:val="24"/>
        </w:rPr>
        <w:t>31</w:t>
      </w:r>
      <w:r w:rsidR="00F01A12" w:rsidRPr="00F01A12">
        <w:rPr>
          <w:rFonts w:cs="Calibri"/>
          <w:bCs/>
          <w:color w:val="000000"/>
          <w:sz w:val="24"/>
          <w:szCs w:val="24"/>
        </w:rPr>
        <w:t>, 201</w:t>
      </w:r>
      <w:r>
        <w:rPr>
          <w:rFonts w:cs="Calibri"/>
          <w:bCs/>
          <w:color w:val="000000"/>
          <w:sz w:val="24"/>
          <w:szCs w:val="24"/>
        </w:rPr>
        <w:t>7</w:t>
      </w:r>
    </w:p>
    <w:p w14:paraId="019E82C9" w14:textId="77777777" w:rsidR="00F01A12" w:rsidRPr="00F01A12" w:rsidRDefault="00F01A12" w:rsidP="00F01A12">
      <w:pPr>
        <w:autoSpaceDE w:val="0"/>
        <w:autoSpaceDN w:val="0"/>
        <w:adjustRightInd w:val="0"/>
        <w:spacing w:after="0" w:line="240" w:lineRule="auto"/>
        <w:jc w:val="center"/>
        <w:rPr>
          <w:rFonts w:cs="Calibri"/>
          <w:bCs/>
          <w:color w:val="000000"/>
          <w:sz w:val="24"/>
          <w:szCs w:val="24"/>
        </w:rPr>
      </w:pPr>
    </w:p>
    <w:p w14:paraId="3E9A93CF" w14:textId="77777777" w:rsidR="00721CC7" w:rsidRDefault="00721CC7" w:rsidP="00336AF4">
      <w:pPr>
        <w:spacing w:after="0"/>
        <w:rPr>
          <w:rFonts w:cs="Calibri"/>
          <w:bCs/>
          <w:color w:val="000000"/>
          <w:sz w:val="24"/>
          <w:szCs w:val="24"/>
        </w:rPr>
      </w:pPr>
    </w:p>
    <w:p w14:paraId="20BDB97D" w14:textId="43D13D1F" w:rsidR="00F01A12" w:rsidRDefault="00F01A12" w:rsidP="00336AF4">
      <w:pPr>
        <w:spacing w:after="0"/>
        <w:rPr>
          <w:sz w:val="24"/>
          <w:szCs w:val="24"/>
        </w:rPr>
      </w:pPr>
      <w:r w:rsidRPr="00F01A12">
        <w:rPr>
          <w:rFonts w:cs="Calibri"/>
          <w:bCs/>
          <w:color w:val="000000"/>
          <w:sz w:val="24"/>
          <w:szCs w:val="24"/>
        </w:rPr>
        <w:t xml:space="preserve">TO: </w:t>
      </w:r>
      <w:r w:rsidR="00440E37">
        <w:rPr>
          <w:rFonts w:cs="Calibri"/>
          <w:bCs/>
          <w:color w:val="000000"/>
          <w:sz w:val="24"/>
          <w:szCs w:val="24"/>
        </w:rPr>
        <w:tab/>
      </w:r>
      <w:r w:rsidRPr="00F01A12">
        <w:rPr>
          <w:rFonts w:cs="Calibri"/>
          <w:bCs/>
          <w:color w:val="000000"/>
          <w:sz w:val="24"/>
          <w:szCs w:val="24"/>
        </w:rPr>
        <w:tab/>
      </w:r>
      <w:r w:rsidR="00440E37">
        <w:rPr>
          <w:sz w:val="24"/>
          <w:szCs w:val="24"/>
        </w:rPr>
        <w:t>Ruth Anne Walker, Administrative and Regulatory Coordinator</w:t>
      </w:r>
    </w:p>
    <w:p w14:paraId="11318F5C" w14:textId="4D229D29" w:rsidR="00440E37" w:rsidRPr="00F01A12" w:rsidRDefault="00440E37" w:rsidP="00336AF4">
      <w:pPr>
        <w:spacing w:after="0"/>
        <w:rPr>
          <w:sz w:val="24"/>
          <w:szCs w:val="24"/>
        </w:rPr>
      </w:pPr>
      <w:r>
        <w:rPr>
          <w:sz w:val="24"/>
          <w:szCs w:val="24"/>
        </w:rPr>
        <w:tab/>
      </w:r>
      <w:r>
        <w:rPr>
          <w:sz w:val="24"/>
          <w:szCs w:val="24"/>
        </w:rPr>
        <w:tab/>
        <w:t>Dept. of Behavioral Health and Developmental Services</w:t>
      </w:r>
    </w:p>
    <w:p w14:paraId="2981C11C" w14:textId="77777777" w:rsidR="00F01A12" w:rsidRPr="00F01A12" w:rsidRDefault="00F01A12" w:rsidP="00F01A12">
      <w:pPr>
        <w:autoSpaceDE w:val="0"/>
        <w:autoSpaceDN w:val="0"/>
        <w:adjustRightInd w:val="0"/>
        <w:spacing w:after="0" w:line="240" w:lineRule="auto"/>
        <w:rPr>
          <w:rFonts w:cs="Calibri"/>
          <w:bCs/>
          <w:color w:val="000000"/>
          <w:sz w:val="24"/>
          <w:szCs w:val="24"/>
        </w:rPr>
      </w:pPr>
      <w:r w:rsidRPr="00F01A12">
        <w:rPr>
          <w:rFonts w:cs="Calibri"/>
          <w:bCs/>
          <w:color w:val="000000"/>
          <w:sz w:val="24"/>
          <w:szCs w:val="24"/>
        </w:rPr>
        <w:t>FROM:</w:t>
      </w:r>
      <w:r w:rsidRPr="00F01A12">
        <w:rPr>
          <w:rFonts w:cs="Calibri"/>
          <w:bCs/>
          <w:color w:val="000000"/>
          <w:sz w:val="24"/>
          <w:szCs w:val="24"/>
        </w:rPr>
        <w:tab/>
      </w:r>
      <w:r w:rsidR="00262D96">
        <w:rPr>
          <w:rFonts w:cs="Calibri"/>
          <w:bCs/>
          <w:color w:val="000000"/>
          <w:sz w:val="24"/>
          <w:szCs w:val="24"/>
        </w:rPr>
        <w:tab/>
      </w:r>
      <w:r w:rsidRPr="00F01A12">
        <w:rPr>
          <w:rFonts w:cs="Calibri"/>
          <w:bCs/>
          <w:color w:val="000000"/>
          <w:sz w:val="24"/>
          <w:szCs w:val="24"/>
        </w:rPr>
        <w:t xml:space="preserve">Heidi L. Lawyer </w:t>
      </w:r>
      <w:r w:rsidRPr="00F01A12">
        <w:rPr>
          <w:rFonts w:cs="Calibri"/>
          <w:bCs/>
          <w:noProof/>
          <w:color w:val="000000"/>
          <w:sz w:val="24"/>
          <w:szCs w:val="24"/>
        </w:rPr>
        <w:drawing>
          <wp:inline distT="0" distB="0" distL="0" distR="0" wp14:anchorId="29DD7C13" wp14:editId="1044FF2C">
            <wp:extent cx="909485" cy="381000"/>
            <wp:effectExtent l="0" t="0" r="5080" b="0"/>
            <wp:docPr id="2" name="Picture 2"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i_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0409" cy="381387"/>
                    </a:xfrm>
                    <a:prstGeom prst="rect">
                      <a:avLst/>
                    </a:prstGeom>
                  </pic:spPr>
                </pic:pic>
              </a:graphicData>
            </a:graphic>
          </wp:inline>
        </w:drawing>
      </w:r>
    </w:p>
    <w:p w14:paraId="71DA1AB2" w14:textId="77777777" w:rsidR="00F01A12" w:rsidRDefault="00F01A12" w:rsidP="00F01A12">
      <w:pPr>
        <w:autoSpaceDE w:val="0"/>
        <w:autoSpaceDN w:val="0"/>
        <w:adjustRightInd w:val="0"/>
        <w:spacing w:after="0" w:line="240" w:lineRule="auto"/>
        <w:rPr>
          <w:rFonts w:cs="Calibri"/>
          <w:bCs/>
          <w:color w:val="000000"/>
          <w:sz w:val="24"/>
          <w:szCs w:val="24"/>
        </w:rPr>
      </w:pPr>
      <w:r w:rsidRPr="00F01A12">
        <w:rPr>
          <w:rFonts w:cs="Calibri"/>
          <w:bCs/>
          <w:color w:val="000000"/>
          <w:sz w:val="24"/>
          <w:szCs w:val="24"/>
        </w:rPr>
        <w:tab/>
      </w:r>
    </w:p>
    <w:p w14:paraId="67CB8BE7" w14:textId="5D5785C1" w:rsidR="00440E37" w:rsidRPr="00440E37" w:rsidRDefault="00440E37" w:rsidP="000165A8">
      <w:pPr>
        <w:rPr>
          <w:rFonts w:cstheme="minorHAnsi"/>
          <w:bCs/>
          <w:sz w:val="24"/>
          <w:szCs w:val="24"/>
        </w:rPr>
      </w:pPr>
      <w:r>
        <w:rPr>
          <w:rFonts w:cs="Calibri"/>
          <w:bCs/>
          <w:color w:val="000000"/>
          <w:sz w:val="24"/>
          <w:szCs w:val="24"/>
        </w:rPr>
        <w:t>RE</w:t>
      </w:r>
      <w:r w:rsidRPr="00440E37">
        <w:rPr>
          <w:rFonts w:cstheme="minorHAnsi"/>
          <w:bCs/>
          <w:color w:val="000000"/>
          <w:sz w:val="24"/>
          <w:szCs w:val="24"/>
        </w:rPr>
        <w:t>:</w:t>
      </w:r>
      <w:r w:rsidR="000165A8">
        <w:rPr>
          <w:rFonts w:cstheme="minorHAnsi"/>
          <w:bCs/>
          <w:color w:val="000000"/>
          <w:sz w:val="24"/>
          <w:szCs w:val="24"/>
        </w:rPr>
        <w:tab/>
      </w:r>
      <w:r w:rsidR="000165A8">
        <w:rPr>
          <w:rFonts w:cstheme="minorHAnsi"/>
          <w:bCs/>
          <w:color w:val="000000"/>
          <w:sz w:val="24"/>
          <w:szCs w:val="24"/>
        </w:rPr>
        <w:tab/>
      </w:r>
      <w:r w:rsidRPr="00440E37">
        <w:rPr>
          <w:rFonts w:cstheme="minorHAnsi"/>
          <w:bCs/>
          <w:sz w:val="24"/>
          <w:szCs w:val="24"/>
        </w:rPr>
        <w:t xml:space="preserve">Request for Stakeholder Comments on </w:t>
      </w:r>
      <w:r w:rsidRPr="00440E37">
        <w:rPr>
          <w:rFonts w:cstheme="minorHAnsi"/>
          <w:bCs/>
          <w:sz w:val="24"/>
          <w:szCs w:val="24"/>
          <w:u w:val="single"/>
        </w:rPr>
        <w:t>Initial Draft Revisions</w:t>
      </w:r>
      <w:r w:rsidRPr="00440E37">
        <w:rPr>
          <w:rFonts w:cstheme="minorHAnsi"/>
          <w:bCs/>
          <w:sz w:val="24"/>
          <w:szCs w:val="24"/>
        </w:rPr>
        <w:t xml:space="preserve"> to DBHDS</w:t>
      </w:r>
      <w:r w:rsidR="000165A8">
        <w:rPr>
          <w:rFonts w:cstheme="minorHAnsi"/>
          <w:bCs/>
          <w:sz w:val="24"/>
          <w:szCs w:val="24"/>
        </w:rPr>
        <w:t xml:space="preserve"> </w:t>
      </w:r>
      <w:r w:rsidRPr="00440E37">
        <w:rPr>
          <w:rFonts w:cstheme="minorHAnsi"/>
          <w:bCs/>
          <w:sz w:val="24"/>
          <w:szCs w:val="24"/>
        </w:rPr>
        <w:t>Regulations Following Periodic Review</w:t>
      </w:r>
    </w:p>
    <w:p w14:paraId="6B1F741F" w14:textId="30B6A799" w:rsidR="00440E37" w:rsidRPr="00440E37" w:rsidRDefault="00257B32" w:rsidP="00440E37">
      <w:pPr>
        <w:pStyle w:val="ListParagraph"/>
        <w:numPr>
          <w:ilvl w:val="0"/>
          <w:numId w:val="7"/>
        </w:numPr>
        <w:spacing w:after="120" w:line="240" w:lineRule="auto"/>
        <w:rPr>
          <w:rFonts w:cstheme="minorHAnsi"/>
          <w:sz w:val="24"/>
          <w:szCs w:val="24"/>
        </w:rPr>
      </w:pPr>
      <w:hyperlink r:id="rId10" w:history="1">
        <w:r w:rsidR="00440E37" w:rsidRPr="00440E37">
          <w:rPr>
            <w:rStyle w:val="Hyperlink"/>
            <w:rFonts w:cstheme="minorHAnsi"/>
            <w:color w:val="auto"/>
            <w:sz w:val="24"/>
            <w:szCs w:val="24"/>
            <w:u w:val="none"/>
          </w:rPr>
          <w:t>DRAFT Revisions as Result of Periodic Review: Ch.190 Regulations for Voluntary Admissions to State Training Centers</w:t>
        </w:r>
      </w:hyperlink>
    </w:p>
    <w:p w14:paraId="5F6400BC" w14:textId="77777777" w:rsidR="00440E37" w:rsidRPr="00440E37" w:rsidRDefault="00257B32" w:rsidP="00440E37">
      <w:pPr>
        <w:pStyle w:val="ListParagraph"/>
        <w:numPr>
          <w:ilvl w:val="0"/>
          <w:numId w:val="7"/>
        </w:numPr>
        <w:spacing w:after="120" w:line="240" w:lineRule="auto"/>
        <w:rPr>
          <w:rFonts w:cstheme="minorHAnsi"/>
          <w:sz w:val="24"/>
          <w:szCs w:val="24"/>
        </w:rPr>
      </w:pPr>
      <w:hyperlink r:id="rId11" w:history="1">
        <w:r w:rsidR="00440E37" w:rsidRPr="00440E37">
          <w:rPr>
            <w:rStyle w:val="Hyperlink"/>
            <w:rFonts w:cstheme="minorHAnsi"/>
            <w:color w:val="auto"/>
            <w:sz w:val="24"/>
            <w:szCs w:val="24"/>
            <w:u w:val="none"/>
          </w:rPr>
          <w:t>DRAFT Revisions as Result of Periodic Review: Ch.200 Regulations for Emergency and Respite Care Admission to State Training Centers</w:t>
        </w:r>
      </w:hyperlink>
    </w:p>
    <w:p w14:paraId="4AF96C06" w14:textId="5DB1F1D4" w:rsidR="00440E37" w:rsidRPr="00440E37" w:rsidRDefault="00257B32" w:rsidP="00440E37">
      <w:pPr>
        <w:pStyle w:val="ListParagraph"/>
        <w:numPr>
          <w:ilvl w:val="0"/>
          <w:numId w:val="7"/>
        </w:numPr>
        <w:spacing w:after="120" w:line="240" w:lineRule="auto"/>
        <w:rPr>
          <w:rFonts w:cstheme="minorHAnsi"/>
          <w:sz w:val="24"/>
          <w:szCs w:val="24"/>
        </w:rPr>
      </w:pPr>
      <w:hyperlink r:id="rId12" w:history="1">
        <w:r w:rsidR="00440E37" w:rsidRPr="00440E37">
          <w:rPr>
            <w:rStyle w:val="Hyperlink"/>
            <w:rFonts w:cstheme="minorHAnsi"/>
            <w:color w:val="auto"/>
            <w:sz w:val="24"/>
            <w:szCs w:val="24"/>
            <w:u w:val="none"/>
          </w:rPr>
          <w:t>DRAFT Revisions as Result of Periodic Review: Ch.210 Regulations to Govern Temporary Leave from State Mental Health and State Mental Retardation Facilities</w:t>
        </w:r>
      </w:hyperlink>
    </w:p>
    <w:p w14:paraId="35F61CB9" w14:textId="77777777" w:rsidR="00440E37" w:rsidRPr="00F01A12" w:rsidRDefault="00440E37" w:rsidP="009A65DE">
      <w:pPr>
        <w:autoSpaceDE w:val="0"/>
        <w:autoSpaceDN w:val="0"/>
        <w:adjustRightInd w:val="0"/>
        <w:spacing w:after="0" w:line="240" w:lineRule="auto"/>
        <w:rPr>
          <w:rFonts w:cs="Calibri"/>
          <w:bCs/>
          <w:color w:val="000000"/>
          <w:sz w:val="24"/>
          <w:szCs w:val="24"/>
        </w:rPr>
      </w:pPr>
    </w:p>
    <w:p w14:paraId="7B0669CC" w14:textId="2ADB1AA0" w:rsidR="00BC1860" w:rsidRDefault="00440E37" w:rsidP="009A65DE">
      <w:pPr>
        <w:spacing w:line="240" w:lineRule="auto"/>
        <w:rPr>
          <w:sz w:val="24"/>
        </w:rPr>
      </w:pPr>
      <w:r>
        <w:rPr>
          <w:sz w:val="24"/>
        </w:rPr>
        <w:t xml:space="preserve">Thank you, on behalf of the Virginia Board for People with Disabilities (The Board) for the opportunity to provide comments on the draft revisions to Sections 190, 200, and 2010.  </w:t>
      </w:r>
      <w:r w:rsidR="00E95D37">
        <w:rPr>
          <w:sz w:val="24"/>
        </w:rPr>
        <w:t>Our comments are minor but we hope they are useful.</w:t>
      </w:r>
    </w:p>
    <w:p w14:paraId="142D485F" w14:textId="0F2BB3BA" w:rsidR="00440E37" w:rsidRDefault="00440E37" w:rsidP="009A65DE">
      <w:pPr>
        <w:spacing w:line="240" w:lineRule="auto"/>
        <w:rPr>
          <w:b/>
          <w:sz w:val="24"/>
        </w:rPr>
      </w:pPr>
      <w:r>
        <w:rPr>
          <w:b/>
          <w:sz w:val="24"/>
        </w:rPr>
        <w:t>Voluntary Admissions to State Training Centers (12VAC 35-190)</w:t>
      </w:r>
    </w:p>
    <w:p w14:paraId="5295DB44" w14:textId="2861EA01" w:rsidR="00440E37" w:rsidRDefault="00440E37" w:rsidP="009A65DE">
      <w:pPr>
        <w:spacing w:line="240" w:lineRule="auto"/>
        <w:rPr>
          <w:sz w:val="24"/>
          <w:u w:val="single"/>
        </w:rPr>
      </w:pPr>
      <w:proofErr w:type="gramStart"/>
      <w:r w:rsidRPr="00440E37">
        <w:rPr>
          <w:sz w:val="24"/>
          <w:u w:val="single"/>
        </w:rPr>
        <w:t>12VAC 35-190-</w:t>
      </w:r>
      <w:r>
        <w:rPr>
          <w:sz w:val="24"/>
          <w:u w:val="single"/>
        </w:rPr>
        <w:t>21.</w:t>
      </w:r>
      <w:proofErr w:type="gramEnd"/>
      <w:r>
        <w:rPr>
          <w:sz w:val="24"/>
          <w:u w:val="single"/>
        </w:rPr>
        <w:t xml:space="preserve">  Application for Admission</w:t>
      </w:r>
    </w:p>
    <w:p w14:paraId="4F5ADFF6" w14:textId="6051E557" w:rsidR="00440E37" w:rsidRDefault="00440E37" w:rsidP="009A65DE">
      <w:pPr>
        <w:spacing w:line="240" w:lineRule="auto"/>
        <w:rPr>
          <w:sz w:val="24"/>
        </w:rPr>
      </w:pPr>
      <w:r>
        <w:rPr>
          <w:sz w:val="24"/>
        </w:rPr>
        <w:t>The Board recommends</w:t>
      </w:r>
      <w:r w:rsidR="009A65DE">
        <w:rPr>
          <w:sz w:val="24"/>
        </w:rPr>
        <w:t xml:space="preserve"> that in paragraph </w:t>
      </w:r>
      <w:proofErr w:type="gramStart"/>
      <w:r w:rsidR="009A65DE">
        <w:rPr>
          <w:sz w:val="24"/>
        </w:rPr>
        <w:t>C1(</w:t>
      </w:r>
      <w:proofErr w:type="gramEnd"/>
      <w:r w:rsidR="009A65DE">
        <w:rPr>
          <w:sz w:val="24"/>
        </w:rPr>
        <w:t xml:space="preserve">4), the term </w:t>
      </w:r>
      <w:r w:rsidR="009A65DE" w:rsidRPr="00721CC7">
        <w:rPr>
          <w:i/>
          <w:sz w:val="24"/>
        </w:rPr>
        <w:t>guardian</w:t>
      </w:r>
      <w:r w:rsidR="009A65DE">
        <w:rPr>
          <w:sz w:val="24"/>
        </w:rPr>
        <w:t xml:space="preserve"> be added after family member.</w:t>
      </w:r>
    </w:p>
    <w:p w14:paraId="0E874649" w14:textId="340DB737" w:rsidR="009A65DE" w:rsidRDefault="004B4C1D" w:rsidP="009A65DE">
      <w:pPr>
        <w:spacing w:line="240" w:lineRule="auto"/>
        <w:rPr>
          <w:b/>
          <w:sz w:val="24"/>
        </w:rPr>
      </w:pPr>
      <w:r>
        <w:rPr>
          <w:b/>
          <w:sz w:val="24"/>
        </w:rPr>
        <w:br w:type="column"/>
      </w:r>
      <w:r w:rsidR="009A65DE">
        <w:rPr>
          <w:b/>
          <w:sz w:val="24"/>
        </w:rPr>
        <w:lastRenderedPageBreak/>
        <w:t>Regulations for Emergency and Respite Care Admission to Training Centers (12VAC 35-200)</w:t>
      </w:r>
    </w:p>
    <w:p w14:paraId="76A02121" w14:textId="7F3AE98C" w:rsidR="009A65DE" w:rsidRDefault="009A65DE" w:rsidP="009A65DE">
      <w:pPr>
        <w:spacing w:line="240" w:lineRule="auto"/>
        <w:rPr>
          <w:sz w:val="24"/>
          <w:u w:val="single"/>
        </w:rPr>
      </w:pPr>
      <w:proofErr w:type="gramStart"/>
      <w:r>
        <w:rPr>
          <w:sz w:val="24"/>
          <w:u w:val="single"/>
        </w:rPr>
        <w:t>12VAC 35-200-10.</w:t>
      </w:r>
      <w:proofErr w:type="gramEnd"/>
      <w:r>
        <w:rPr>
          <w:sz w:val="24"/>
          <w:u w:val="single"/>
        </w:rPr>
        <w:t xml:space="preserve">  Definitions</w:t>
      </w:r>
    </w:p>
    <w:p w14:paraId="04F14F19" w14:textId="69387B6E" w:rsidR="00721CC7" w:rsidRDefault="00721CC7" w:rsidP="009A65DE">
      <w:pPr>
        <w:spacing w:line="240" w:lineRule="auto"/>
        <w:rPr>
          <w:sz w:val="24"/>
        </w:rPr>
      </w:pPr>
      <w:proofErr w:type="gramStart"/>
      <w:r w:rsidRPr="00721CC7">
        <w:rPr>
          <w:sz w:val="24"/>
          <w:u w:val="single"/>
        </w:rPr>
        <w:t>Less Restrictive Setting</w:t>
      </w:r>
      <w:r>
        <w:rPr>
          <w:sz w:val="24"/>
        </w:rPr>
        <w:t>.</w:t>
      </w:r>
      <w:proofErr w:type="gramEnd"/>
      <w:r>
        <w:rPr>
          <w:sz w:val="24"/>
        </w:rPr>
        <w:t xml:space="preserve">  </w:t>
      </w:r>
      <w:r w:rsidR="009A65DE">
        <w:rPr>
          <w:sz w:val="24"/>
        </w:rPr>
        <w:t>The Board recommends that the term “Less Restrictive Setting” be changed to “</w:t>
      </w:r>
      <w:r w:rsidR="009A65DE" w:rsidRPr="00721CC7">
        <w:rPr>
          <w:i/>
          <w:sz w:val="24"/>
        </w:rPr>
        <w:t xml:space="preserve">Least Restrictive </w:t>
      </w:r>
      <w:r w:rsidRPr="00721CC7">
        <w:rPr>
          <w:i/>
          <w:sz w:val="24"/>
        </w:rPr>
        <w:t>Alternative</w:t>
      </w:r>
      <w:r w:rsidR="00D90D50">
        <w:rPr>
          <w:i/>
          <w:sz w:val="24"/>
        </w:rPr>
        <w:t>.</w:t>
      </w:r>
      <w:r>
        <w:rPr>
          <w:sz w:val="24"/>
        </w:rPr>
        <w:t xml:space="preserve">” which is defined in </w:t>
      </w:r>
      <w:r w:rsidR="00D90D50">
        <w:rPr>
          <w:sz w:val="24"/>
        </w:rPr>
        <w:t xml:space="preserve">§16.1-336 of </w:t>
      </w:r>
      <w:r>
        <w:rPr>
          <w:sz w:val="24"/>
        </w:rPr>
        <w:t>the Code of Virginia</w:t>
      </w:r>
      <w:r w:rsidR="00D90D50">
        <w:rPr>
          <w:sz w:val="24"/>
        </w:rPr>
        <w:t xml:space="preserve"> and used in both Title 16.1 and Title 51.5 of the </w:t>
      </w:r>
      <w:proofErr w:type="spellStart"/>
      <w:r w:rsidR="00D90D50">
        <w:rPr>
          <w:sz w:val="24"/>
        </w:rPr>
        <w:t>Code</w:t>
      </w:r>
      <w:r w:rsidR="009A65DE">
        <w:rPr>
          <w:sz w:val="24"/>
        </w:rPr>
        <w:t>In</w:t>
      </w:r>
      <w:proofErr w:type="spellEnd"/>
      <w:r w:rsidR="009A65DE">
        <w:rPr>
          <w:sz w:val="24"/>
        </w:rPr>
        <w:t xml:space="preserve"> the alternative, the </w:t>
      </w:r>
      <w:r w:rsidR="00D90D50">
        <w:rPr>
          <w:sz w:val="24"/>
        </w:rPr>
        <w:t xml:space="preserve"> phrase</w:t>
      </w:r>
      <w:r w:rsidR="009A65DE">
        <w:rPr>
          <w:sz w:val="24"/>
        </w:rPr>
        <w:t xml:space="preserve"> “</w:t>
      </w:r>
      <w:r w:rsidR="009A65DE" w:rsidRPr="00721CC7">
        <w:rPr>
          <w:i/>
          <w:sz w:val="24"/>
        </w:rPr>
        <w:t>Most Integrated Setting</w:t>
      </w:r>
      <w:r w:rsidR="009A65DE">
        <w:rPr>
          <w:sz w:val="24"/>
        </w:rPr>
        <w:t>”</w:t>
      </w:r>
      <w:r w:rsidR="00D90D50">
        <w:rPr>
          <w:sz w:val="24"/>
        </w:rPr>
        <w:t xml:space="preserve"> could be substituted,</w:t>
      </w:r>
      <w:r w:rsidR="009A65DE">
        <w:rPr>
          <w:sz w:val="24"/>
        </w:rPr>
        <w:t xml:space="preserve"> which is consistent with the</w:t>
      </w:r>
      <w:r w:rsidR="00D90D50">
        <w:rPr>
          <w:sz w:val="24"/>
        </w:rPr>
        <w:t xml:space="preserve"> integration mandate of the</w:t>
      </w:r>
      <w:r w:rsidR="009A65DE">
        <w:rPr>
          <w:sz w:val="24"/>
        </w:rPr>
        <w:t xml:space="preserve"> Supreme Court</w:t>
      </w:r>
      <w:r w:rsidR="00D90D50">
        <w:rPr>
          <w:sz w:val="24"/>
        </w:rPr>
        <w:t>’s</w:t>
      </w:r>
      <w:r w:rsidR="009A65DE">
        <w:rPr>
          <w:sz w:val="24"/>
        </w:rPr>
        <w:t xml:space="preserve"> </w:t>
      </w:r>
      <w:r w:rsidR="009A65DE" w:rsidRPr="004B4C1D">
        <w:rPr>
          <w:i/>
          <w:sz w:val="24"/>
        </w:rPr>
        <w:t>Olmstead</w:t>
      </w:r>
      <w:r w:rsidR="00D90D50" w:rsidRPr="00D90D50">
        <w:rPr>
          <w:sz w:val="24"/>
        </w:rPr>
        <w:t xml:space="preserve"> </w:t>
      </w:r>
      <w:r w:rsidR="00D90D50">
        <w:rPr>
          <w:sz w:val="24"/>
        </w:rPr>
        <w:t>decision</w:t>
      </w:r>
      <w:r w:rsidR="009A65DE">
        <w:rPr>
          <w:sz w:val="24"/>
        </w:rPr>
        <w:t xml:space="preserve">. We also recommend that the </w:t>
      </w:r>
      <w:r>
        <w:rPr>
          <w:sz w:val="24"/>
        </w:rPr>
        <w:t xml:space="preserve">definition be reviewed in light of individual civil and human rights and balance that focus </w:t>
      </w:r>
      <w:r w:rsidR="00D90D50">
        <w:rPr>
          <w:sz w:val="24"/>
        </w:rPr>
        <w:t xml:space="preserve">with </w:t>
      </w:r>
      <w:r>
        <w:rPr>
          <w:sz w:val="24"/>
        </w:rPr>
        <w:t>protection from harm to self or others.</w:t>
      </w:r>
    </w:p>
    <w:p w14:paraId="10896225" w14:textId="1B9E644B" w:rsidR="00721CC7" w:rsidRDefault="00721CC7" w:rsidP="009A65DE">
      <w:pPr>
        <w:spacing w:line="240" w:lineRule="auto"/>
        <w:rPr>
          <w:sz w:val="24"/>
        </w:rPr>
      </w:pPr>
      <w:r>
        <w:rPr>
          <w:sz w:val="24"/>
          <w:u w:val="single"/>
        </w:rPr>
        <w:t>Respite Care</w:t>
      </w:r>
      <w:r>
        <w:rPr>
          <w:sz w:val="24"/>
        </w:rPr>
        <w:t>.  The term mental retardation was inadvertently left in this definition. The Board appreciates that this language has been changed to intellectual disabilities in each of the chapters.</w:t>
      </w:r>
    </w:p>
    <w:p w14:paraId="267A45C6" w14:textId="3BD37D12" w:rsidR="00721CC7" w:rsidRDefault="00721CC7" w:rsidP="009A65DE">
      <w:pPr>
        <w:spacing w:line="240" w:lineRule="auto"/>
        <w:rPr>
          <w:sz w:val="24"/>
        </w:rPr>
      </w:pPr>
      <w:proofErr w:type="gramStart"/>
      <w:r>
        <w:rPr>
          <w:sz w:val="24"/>
          <w:u w:val="single"/>
        </w:rPr>
        <w:t>12VAC 35-200-20.</w:t>
      </w:r>
      <w:proofErr w:type="gramEnd"/>
      <w:r>
        <w:rPr>
          <w:sz w:val="24"/>
          <w:u w:val="single"/>
        </w:rPr>
        <w:t xml:space="preserve">  Respite Care Admissions</w:t>
      </w:r>
    </w:p>
    <w:p w14:paraId="3B71E199" w14:textId="592B1E7F" w:rsidR="00721CC7" w:rsidRDefault="00721CC7" w:rsidP="009A65DE">
      <w:pPr>
        <w:spacing w:line="240" w:lineRule="auto"/>
        <w:rPr>
          <w:sz w:val="24"/>
        </w:rPr>
      </w:pPr>
      <w:r>
        <w:rPr>
          <w:sz w:val="24"/>
        </w:rPr>
        <w:t xml:space="preserve">The Board is concerned that </w:t>
      </w:r>
      <w:r w:rsidR="00BD5204">
        <w:rPr>
          <w:sz w:val="24"/>
        </w:rPr>
        <w:t xml:space="preserve">“a </w:t>
      </w:r>
      <w:r>
        <w:rPr>
          <w:sz w:val="24"/>
        </w:rPr>
        <w:t>current psychological evaluation</w:t>
      </w:r>
      <w:r w:rsidR="00BD5204">
        <w:rPr>
          <w:sz w:val="24"/>
        </w:rPr>
        <w:t>” that accurately reflects an individual’s present level of functioning at the time that emergency respite is needed</w:t>
      </w:r>
      <w:r>
        <w:rPr>
          <w:sz w:val="24"/>
        </w:rPr>
        <w:t xml:space="preserve"> may not be available and that an older evaluation may not accurately reflect the individual</w:t>
      </w:r>
      <w:r w:rsidR="00BD5204">
        <w:rPr>
          <w:sz w:val="24"/>
        </w:rPr>
        <w:t>’s</w:t>
      </w:r>
      <w:r>
        <w:rPr>
          <w:sz w:val="24"/>
        </w:rPr>
        <w:t xml:space="preserve"> current needs for respite</w:t>
      </w:r>
      <w:r w:rsidR="00BD5204">
        <w:rPr>
          <w:sz w:val="24"/>
        </w:rPr>
        <w:t xml:space="preserve">. </w:t>
      </w:r>
      <w:r>
        <w:rPr>
          <w:sz w:val="24"/>
        </w:rPr>
        <w:t xml:space="preserve"> </w:t>
      </w:r>
      <w:r w:rsidR="00F1503A">
        <w:rPr>
          <w:sz w:val="24"/>
        </w:rPr>
        <w:t xml:space="preserve">The Board recommends, therefore, that documentation evidencing an individual’s current level of functioning be allowed to satisfy the application requirements in lieu of a psychological evaluation in instances where the most recent available evaluation does not evidence the individual’s current level of functioning. </w:t>
      </w:r>
    </w:p>
    <w:p w14:paraId="3C9CE5CC" w14:textId="6A28A1F7" w:rsidR="00721CC7" w:rsidRDefault="00721CC7" w:rsidP="009A65DE">
      <w:pPr>
        <w:spacing w:line="240" w:lineRule="auto"/>
        <w:rPr>
          <w:sz w:val="24"/>
        </w:rPr>
      </w:pPr>
      <w:r>
        <w:rPr>
          <w:sz w:val="24"/>
        </w:rPr>
        <w:t xml:space="preserve">The Board recommends that the term </w:t>
      </w:r>
      <w:r w:rsidRPr="00721CC7">
        <w:rPr>
          <w:i/>
          <w:sz w:val="24"/>
        </w:rPr>
        <w:t>guardian</w:t>
      </w:r>
      <w:r>
        <w:rPr>
          <w:sz w:val="24"/>
        </w:rPr>
        <w:t xml:space="preserve"> be added to sub-item 9 under application requirements.</w:t>
      </w:r>
    </w:p>
    <w:p w14:paraId="5C95939E" w14:textId="714CEC83" w:rsidR="00E95D37" w:rsidRDefault="00E95D37" w:rsidP="009A65DE">
      <w:pPr>
        <w:spacing w:line="240" w:lineRule="auto"/>
        <w:rPr>
          <w:sz w:val="24"/>
          <w:u w:val="single"/>
        </w:rPr>
      </w:pPr>
      <w:proofErr w:type="gramStart"/>
      <w:r>
        <w:rPr>
          <w:sz w:val="24"/>
          <w:u w:val="single"/>
        </w:rPr>
        <w:t>12VAC 35-200-30.</w:t>
      </w:r>
      <w:proofErr w:type="gramEnd"/>
      <w:r>
        <w:rPr>
          <w:sz w:val="24"/>
          <w:u w:val="single"/>
        </w:rPr>
        <w:t xml:space="preserve">  Emergency Admissions</w:t>
      </w:r>
    </w:p>
    <w:p w14:paraId="3FD22E73" w14:textId="663DDEC0" w:rsidR="00E95D37" w:rsidRDefault="009F0464" w:rsidP="009A65DE">
      <w:pPr>
        <w:spacing w:line="240" w:lineRule="auto"/>
        <w:rPr>
          <w:sz w:val="24"/>
        </w:rPr>
      </w:pPr>
      <w:r>
        <w:rPr>
          <w:sz w:val="24"/>
        </w:rPr>
        <w:t xml:space="preserve">C. </w:t>
      </w:r>
      <w:r w:rsidR="00A22BB5">
        <w:rPr>
          <w:sz w:val="24"/>
        </w:rPr>
        <w:t>A</w:t>
      </w:r>
      <w:r>
        <w:rPr>
          <w:sz w:val="24"/>
        </w:rPr>
        <w:t>dd</w:t>
      </w:r>
      <w:r w:rsidR="00E95D37">
        <w:rPr>
          <w:sz w:val="24"/>
        </w:rPr>
        <w:t xml:space="preserve"> the words </w:t>
      </w:r>
      <w:r w:rsidR="00E95D37" w:rsidRPr="00E95D37">
        <w:rPr>
          <w:i/>
          <w:sz w:val="24"/>
        </w:rPr>
        <w:t>as to</w:t>
      </w:r>
      <w:r w:rsidR="00E95D37">
        <w:rPr>
          <w:sz w:val="24"/>
        </w:rPr>
        <w:t xml:space="preserve"> after CSB on the third line, i.e., shall inform the CSB </w:t>
      </w:r>
      <w:r w:rsidR="00E95D37">
        <w:rPr>
          <w:i/>
          <w:sz w:val="24"/>
        </w:rPr>
        <w:t xml:space="preserve">as to </w:t>
      </w:r>
      <w:r w:rsidR="00E95D37">
        <w:rPr>
          <w:sz w:val="24"/>
        </w:rPr>
        <w:t>whether the individual…</w:t>
      </w:r>
    </w:p>
    <w:p w14:paraId="0FD6B2F3" w14:textId="0A11C604" w:rsidR="00E95D37" w:rsidRPr="00E95D37" w:rsidRDefault="00E95D37" w:rsidP="009A65DE">
      <w:pPr>
        <w:spacing w:line="240" w:lineRule="auto"/>
        <w:rPr>
          <w:b/>
          <w:sz w:val="24"/>
        </w:rPr>
      </w:pPr>
      <w:r>
        <w:rPr>
          <w:b/>
          <w:sz w:val="24"/>
        </w:rPr>
        <w:t>Regulations to Govern Temporary Leave from State Facilities (12VAC 35-210)</w:t>
      </w:r>
    </w:p>
    <w:p w14:paraId="3A9BBE03" w14:textId="66E64F3B" w:rsidR="00E95D37" w:rsidRPr="00E95D37" w:rsidRDefault="00E95D37" w:rsidP="009A65DE">
      <w:pPr>
        <w:spacing w:line="240" w:lineRule="auto"/>
        <w:rPr>
          <w:sz w:val="24"/>
          <w:u w:val="single"/>
        </w:rPr>
      </w:pPr>
      <w:proofErr w:type="gramStart"/>
      <w:r>
        <w:rPr>
          <w:sz w:val="24"/>
          <w:u w:val="single"/>
        </w:rPr>
        <w:t>12VAC 35-210-20.</w:t>
      </w:r>
      <w:proofErr w:type="gramEnd"/>
      <w:r>
        <w:rPr>
          <w:sz w:val="24"/>
          <w:u w:val="single"/>
        </w:rPr>
        <w:t xml:space="preserve"> Definitions</w:t>
      </w:r>
    </w:p>
    <w:p w14:paraId="460D1712" w14:textId="6E976C2D" w:rsidR="009A65DE" w:rsidRDefault="00E95D37" w:rsidP="009A65DE">
      <w:pPr>
        <w:spacing w:line="240" w:lineRule="auto"/>
        <w:rPr>
          <w:sz w:val="24"/>
        </w:rPr>
      </w:pPr>
      <w:r>
        <w:rPr>
          <w:sz w:val="24"/>
        </w:rPr>
        <w:t xml:space="preserve">The </w:t>
      </w:r>
      <w:r w:rsidR="00A22BB5">
        <w:rPr>
          <w:sz w:val="24"/>
        </w:rPr>
        <w:t xml:space="preserve">definition of </w:t>
      </w:r>
      <w:r>
        <w:rPr>
          <w:sz w:val="24"/>
        </w:rPr>
        <w:t>“responsible person” includes a reference to a “legal guardian</w:t>
      </w:r>
      <w:r w:rsidR="00A22BB5">
        <w:rPr>
          <w:sz w:val="24"/>
        </w:rPr>
        <w:t>,</w:t>
      </w:r>
      <w:r>
        <w:rPr>
          <w:sz w:val="24"/>
        </w:rPr>
        <w:t>”</w:t>
      </w:r>
      <w:r w:rsidR="00CE7CC8">
        <w:rPr>
          <w:sz w:val="24"/>
        </w:rPr>
        <w:t xml:space="preserve"> which is also listed in the definition for “authorized representative.</w:t>
      </w:r>
      <w:r w:rsidR="009F0464">
        <w:rPr>
          <w:sz w:val="24"/>
        </w:rPr>
        <w:t>”</w:t>
      </w:r>
      <w:r>
        <w:rPr>
          <w:sz w:val="24"/>
        </w:rPr>
        <w:t xml:space="preserve"> </w:t>
      </w:r>
      <w:r w:rsidR="009F0464">
        <w:rPr>
          <w:sz w:val="24"/>
        </w:rPr>
        <w:t xml:space="preserve">Neither guardian nor legal guardian is defined.  </w:t>
      </w:r>
      <w:r>
        <w:t>The other two regulations under review (35-190 and 35-200) defined “guardian</w:t>
      </w:r>
      <w:r w:rsidR="00A22BB5">
        <w:t>,</w:t>
      </w:r>
      <w:r>
        <w:t>” not “legal guardian</w:t>
      </w:r>
      <w:r w:rsidR="00CE7CC8">
        <w:t>.</w:t>
      </w:r>
      <w:r>
        <w:t>”  The regulations should be consistent among each other.</w:t>
      </w:r>
      <w:r w:rsidR="00CE7CC8">
        <w:t xml:space="preserve"> If legal guardian is the preferred term</w:t>
      </w:r>
      <w:r w:rsidR="00A22BB5">
        <w:t>,</w:t>
      </w:r>
      <w:r w:rsidR="00CE7CC8">
        <w:t xml:space="preserve"> it should be utilized throughout.</w:t>
      </w:r>
    </w:p>
    <w:p w14:paraId="5B8C8837" w14:textId="21AA4800" w:rsidR="00721CC7" w:rsidRPr="00E95D37" w:rsidRDefault="00E95D37" w:rsidP="009A65DE">
      <w:pPr>
        <w:spacing w:line="240" w:lineRule="auto"/>
        <w:rPr>
          <w:sz w:val="24"/>
          <w:u w:val="single"/>
        </w:rPr>
      </w:pPr>
      <w:r w:rsidRPr="00E95D37">
        <w:rPr>
          <w:sz w:val="24"/>
          <w:u w:val="single"/>
        </w:rPr>
        <w:t>12VAC 35-210-30 General Requirements for Temporary Leave</w:t>
      </w:r>
    </w:p>
    <w:p w14:paraId="3472D62E" w14:textId="665CAD72" w:rsidR="00440E37" w:rsidRDefault="00E95D37" w:rsidP="00440E37">
      <w:r>
        <w:t xml:space="preserve">Section C </w:t>
      </w:r>
      <w:r w:rsidR="00A22BB5">
        <w:t xml:space="preserve">states that individuals who are granted a day pass, family </w:t>
      </w:r>
      <w:r w:rsidR="004B4C1D">
        <w:t>visit</w:t>
      </w:r>
      <w:r w:rsidR="00A22BB5">
        <w:t xml:space="preserve"> or trial visit may be “placed in the care of a … person determined capable by facility </w:t>
      </w:r>
      <w:proofErr w:type="gramStart"/>
      <w:r w:rsidR="00A22BB5">
        <w:t>director,</w:t>
      </w:r>
      <w:proofErr w:type="gramEnd"/>
      <w:r w:rsidR="00A22BB5">
        <w:t xml:space="preserve"> or AR.”</w:t>
      </w:r>
      <w:r>
        <w:t xml:space="preserve">  </w:t>
      </w:r>
      <w:r w:rsidR="00F06152">
        <w:t xml:space="preserve">The Board is concerned about </w:t>
      </w:r>
      <w:r w:rsidR="00F06152">
        <w:lastRenderedPageBreak/>
        <w:t xml:space="preserve">the lack of any objective criteria, or other guidance or processes for </w:t>
      </w:r>
      <w:r w:rsidR="004B4C1D">
        <w:t>determining that</w:t>
      </w:r>
      <w:r w:rsidR="00F06152">
        <w:t xml:space="preserve"> a person is “capable.”</w:t>
      </w:r>
      <w:r>
        <w:t xml:space="preserve"> </w:t>
      </w:r>
      <w:r w:rsidR="00F06152">
        <w:t xml:space="preserve">It is also unclear what “capable” means in this context. </w:t>
      </w:r>
      <w:r>
        <w:t xml:space="preserve">This section also includes another reference to “legal” guardian.  </w:t>
      </w:r>
    </w:p>
    <w:p w14:paraId="2D579592" w14:textId="073C2350" w:rsidR="00E95D37" w:rsidRDefault="00E95D37" w:rsidP="00440E37">
      <w:pPr>
        <w:rPr>
          <w:u w:val="single"/>
        </w:rPr>
      </w:pPr>
      <w:r>
        <w:rPr>
          <w:u w:val="single"/>
        </w:rPr>
        <w:t xml:space="preserve">12 </w:t>
      </w:r>
      <w:proofErr w:type="gramStart"/>
      <w:r>
        <w:rPr>
          <w:u w:val="single"/>
        </w:rPr>
        <w:t>VAC</w:t>
      </w:r>
      <w:proofErr w:type="gramEnd"/>
      <w:r>
        <w:rPr>
          <w:u w:val="single"/>
        </w:rPr>
        <w:t xml:space="preserve"> 35-210-50. Trial Visits</w:t>
      </w:r>
    </w:p>
    <w:p w14:paraId="3C0EF762" w14:textId="5E419E18" w:rsidR="007E7AEA" w:rsidRDefault="00E95D37" w:rsidP="00440E37">
      <w:r>
        <w:t xml:space="preserve">Under </w:t>
      </w:r>
      <w:proofErr w:type="gramStart"/>
      <w:r>
        <w:t>A(</w:t>
      </w:r>
      <w:proofErr w:type="gramEnd"/>
      <w:r>
        <w:t>2), the Board recommends changing the language to</w:t>
      </w:r>
      <w:r w:rsidR="00F06152">
        <w:t xml:space="preserve"> the following:</w:t>
      </w:r>
    </w:p>
    <w:p w14:paraId="1411BAE8" w14:textId="62FCE73A" w:rsidR="00E95D37" w:rsidRDefault="00F06152" w:rsidP="004B4C1D">
      <w:pPr>
        <w:ind w:left="720" w:firstLine="45"/>
      </w:pPr>
      <w:r>
        <w:t>“</w:t>
      </w:r>
      <w:r w:rsidR="00E95D37">
        <w:t xml:space="preserve">The individual’s </w:t>
      </w:r>
      <w:r w:rsidR="00E95D37">
        <w:rPr>
          <w:i/>
        </w:rPr>
        <w:t>essential support and supervision needs</w:t>
      </w:r>
      <w:r w:rsidR="007E7AEA">
        <w:rPr>
          <w:i/>
        </w:rPr>
        <w:t xml:space="preserve"> and supervision” </w:t>
      </w:r>
    </w:p>
    <w:p w14:paraId="5A9B6162" w14:textId="15F3C625" w:rsidR="00CE7CC8" w:rsidRDefault="00CE7CC8" w:rsidP="00440E37">
      <w:pPr>
        <w:rPr>
          <w:u w:val="single"/>
        </w:rPr>
      </w:pPr>
      <w:proofErr w:type="gramStart"/>
      <w:r w:rsidRPr="00CE7CC8">
        <w:rPr>
          <w:u w:val="single"/>
        </w:rPr>
        <w:t>12VAC 35-210-60.</w:t>
      </w:r>
      <w:proofErr w:type="gramEnd"/>
      <w:r w:rsidRPr="00CE7CC8">
        <w:rPr>
          <w:u w:val="single"/>
        </w:rPr>
        <w:t xml:space="preserve"> Family Visits</w:t>
      </w:r>
    </w:p>
    <w:p w14:paraId="6ED27AC7" w14:textId="609EDC7C" w:rsidR="009F0464" w:rsidRDefault="00CE7CC8" w:rsidP="00440E37">
      <w:pPr>
        <w:rPr>
          <w:i/>
        </w:rPr>
      </w:pPr>
      <w:r>
        <w:t xml:space="preserve">In number </w:t>
      </w:r>
      <w:r w:rsidR="009F0464">
        <w:t>B (</w:t>
      </w:r>
      <w:r>
        <w:t>3), it indicates that when planning visits, facilities shall “consider whether the visit has an impact on the treatment or training schedule</w:t>
      </w:r>
      <w:r>
        <w:rPr>
          <w:u w:val="single"/>
        </w:rPr>
        <w:t xml:space="preserve"> </w:t>
      </w:r>
      <w:r>
        <w:t>for the individual and make appropriate accommodations.</w:t>
      </w:r>
      <w:r w:rsidR="007E7AEA">
        <w:t>”</w:t>
      </w:r>
      <w:r>
        <w:t xml:space="preserve">  While inclusion of “treatment” is understandable, </w:t>
      </w:r>
      <w:r w:rsidR="009F0464">
        <w:t xml:space="preserve">the term “training schedule” seems archaic with respect to its use regarding training center residents in particular.  The Board recommends consideration of an alternate term, e.g., </w:t>
      </w:r>
      <w:r w:rsidR="007E7AEA">
        <w:t>c</w:t>
      </w:r>
      <w:r w:rsidR="007E7AEA" w:rsidRPr="004B4C1D">
        <w:rPr>
          <w:i/>
        </w:rPr>
        <w:t>onsider</w:t>
      </w:r>
      <w:r w:rsidR="007E7AEA">
        <w:t xml:space="preserve"> </w:t>
      </w:r>
      <w:r w:rsidR="009F0464" w:rsidRPr="009F0464">
        <w:rPr>
          <w:i/>
        </w:rPr>
        <w:t xml:space="preserve">whether the visit has an impact on the </w:t>
      </w:r>
      <w:r w:rsidR="009F0464">
        <w:rPr>
          <w:i/>
        </w:rPr>
        <w:t xml:space="preserve">individual’s </w:t>
      </w:r>
      <w:r w:rsidR="009F0464" w:rsidRPr="009F0464">
        <w:rPr>
          <w:i/>
        </w:rPr>
        <w:t xml:space="preserve">treatment, education, or work related </w:t>
      </w:r>
      <w:r w:rsidR="009F0464">
        <w:rPr>
          <w:i/>
        </w:rPr>
        <w:t>activities and make appropriate accommodations</w:t>
      </w:r>
    </w:p>
    <w:p w14:paraId="44052F3D" w14:textId="7E2E8855" w:rsidR="00CE7CC8" w:rsidRDefault="009F0464" w:rsidP="00440E37">
      <w:pPr>
        <w:rPr>
          <w:u w:val="single"/>
        </w:rPr>
      </w:pPr>
      <w:proofErr w:type="gramStart"/>
      <w:r>
        <w:rPr>
          <w:u w:val="single"/>
        </w:rPr>
        <w:t>12VAC 35-210-90.</w:t>
      </w:r>
      <w:proofErr w:type="gramEnd"/>
      <w:r>
        <w:rPr>
          <w:u w:val="single"/>
        </w:rPr>
        <w:t xml:space="preserve">  Failure to Return to Training Centers</w:t>
      </w:r>
    </w:p>
    <w:p w14:paraId="5A3114D2" w14:textId="7DE8249B" w:rsidR="009F0464" w:rsidRDefault="009F0464" w:rsidP="00440E37">
      <w:r>
        <w:t xml:space="preserve">Section E states that if no emergency or unforeseen circumstances </w:t>
      </w:r>
      <w:r w:rsidR="004B4C1D">
        <w:t>exist and</w:t>
      </w:r>
      <w:r w:rsidR="007E7AEA">
        <w:t xml:space="preserve"> the responsible person does not agree to return to the individual to the training Center as </w:t>
      </w:r>
      <w:r w:rsidR="004B4C1D">
        <w:t>scheduled, the</w:t>
      </w:r>
      <w:r>
        <w:t xml:space="preserve"> facility </w:t>
      </w:r>
      <w:r w:rsidR="007E7AEA">
        <w:t xml:space="preserve">director shall </w:t>
      </w:r>
      <w:r>
        <w:t>discharge the individual</w:t>
      </w:r>
      <w:r w:rsidR="007E7AEA">
        <w:t>.</w:t>
      </w:r>
      <w:r>
        <w:t xml:space="preserve"> .  Written notification is then sent to the AR.  </w:t>
      </w:r>
      <w:r w:rsidR="007E7AEA">
        <w:t xml:space="preserve">This section is concerning to the Board for two reasons: First, </w:t>
      </w:r>
      <w:r w:rsidR="00B13C92">
        <w:t>as currently written in 12 VAC 35-210-30, the responsible person may be anybody that the facility director or AR determined “capable.” If the failure of this responsible person to return an individual as scheduled is grounds for discharge from the facility, then the Board strongly urges significant restrictions on who may serve as the responsible person.  Secondly, i</w:t>
      </w:r>
      <w:r>
        <w:t xml:space="preserve">f the responsible party is not the AR, then the AR should be </w:t>
      </w:r>
      <w:r w:rsidR="00B13C92">
        <w:t xml:space="preserve">immediately informed of the failure of the responsible person to return the individual to the Training Center as scheduled, and </w:t>
      </w:r>
      <w:r>
        <w:t>notified</w:t>
      </w:r>
      <w:r w:rsidR="00B13C92">
        <w:t xml:space="preserve"> in writing</w:t>
      </w:r>
      <w:r>
        <w:t xml:space="preserve"> prior to the individual being discharged, not after.</w:t>
      </w:r>
    </w:p>
    <w:p w14:paraId="7753A25E" w14:textId="726B5F7A" w:rsidR="009F0464" w:rsidRPr="009F0464" w:rsidRDefault="009F0464" w:rsidP="00440E37">
      <w:pPr>
        <w:rPr>
          <w:sz w:val="24"/>
        </w:rPr>
      </w:pPr>
      <w:r>
        <w:t xml:space="preserve">Thank you again for the opportunity to provide input. Please feel free to contact me should you have any questions about our comment at </w:t>
      </w:r>
      <w:hyperlink r:id="rId13" w:history="1">
        <w:r w:rsidRPr="007C28CA">
          <w:rPr>
            <w:rStyle w:val="Hyperlink"/>
          </w:rPr>
          <w:t>Heidi.Lawyer@vbpd.virginia.gov</w:t>
        </w:r>
      </w:hyperlink>
      <w:r>
        <w:t xml:space="preserve"> or 804-786-0016.</w:t>
      </w:r>
    </w:p>
    <w:sectPr w:rsidR="009F0464" w:rsidRPr="009F0464" w:rsidSect="004E7ABD">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1FA6F" w14:textId="77777777" w:rsidR="00257B32" w:rsidRDefault="00257B32" w:rsidP="004E7ABD">
      <w:pPr>
        <w:spacing w:after="0" w:line="240" w:lineRule="auto"/>
      </w:pPr>
      <w:r>
        <w:separator/>
      </w:r>
    </w:p>
  </w:endnote>
  <w:endnote w:type="continuationSeparator" w:id="0">
    <w:p w14:paraId="40A52F83" w14:textId="77777777" w:rsidR="00257B32" w:rsidRDefault="00257B32" w:rsidP="004E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Mini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8536" w14:textId="77777777" w:rsidR="004B4C1D" w:rsidRDefault="004B4C1D" w:rsidP="004B4C1D">
    <w:pPr>
      <w:pStyle w:val="Footer"/>
      <w:jc w:val="center"/>
      <w:rPr>
        <w:rFonts w:ascii="Minion" w:hAnsi="Minion"/>
        <w:i/>
        <w:color w:val="002060"/>
      </w:rPr>
    </w:pPr>
  </w:p>
  <w:p w14:paraId="4759A99B" w14:textId="77777777" w:rsidR="004B4C1D" w:rsidRPr="004B4C1D" w:rsidRDefault="004B4C1D" w:rsidP="004B4C1D">
    <w:pPr>
      <w:pStyle w:val="Footer"/>
      <w:jc w:val="center"/>
      <w:rPr>
        <w:rFonts w:ascii="Minion" w:hAnsi="Minion"/>
        <w:i/>
        <w:color w:val="002060"/>
      </w:rPr>
    </w:pPr>
    <w:r w:rsidRPr="004B4C1D">
      <w:rPr>
        <w:rFonts w:ascii="Minion" w:hAnsi="Minion"/>
        <w:i/>
        <w:color w:val="002060"/>
      </w:rPr>
      <w:t>Virginia’s Developmental Disabilities Council</w:t>
    </w:r>
  </w:p>
  <w:p w14:paraId="43FB724D" w14:textId="77777777" w:rsidR="004B4C1D" w:rsidRDefault="004B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DDCA" w14:textId="6E8810B1" w:rsidR="004B4C1D" w:rsidRPr="004B4C1D" w:rsidRDefault="004B4C1D" w:rsidP="004B4C1D">
    <w:pPr>
      <w:pStyle w:val="Footer"/>
      <w:jc w:val="center"/>
      <w:rPr>
        <w:rFonts w:ascii="Minion" w:hAnsi="Minion"/>
        <w:i/>
        <w:color w:val="002060"/>
      </w:rPr>
    </w:pPr>
    <w:r w:rsidRPr="004B4C1D">
      <w:rPr>
        <w:rFonts w:ascii="Minion" w:hAnsi="Minion"/>
        <w:i/>
        <w:color w:val="002060"/>
      </w:rPr>
      <w:t>Virginia’s Developmental Disabilities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C2E57" w14:textId="77777777" w:rsidR="00257B32" w:rsidRDefault="00257B32" w:rsidP="004E7ABD">
      <w:pPr>
        <w:spacing w:after="0" w:line="240" w:lineRule="auto"/>
      </w:pPr>
      <w:r>
        <w:separator/>
      </w:r>
    </w:p>
  </w:footnote>
  <w:footnote w:type="continuationSeparator" w:id="0">
    <w:p w14:paraId="3824241B" w14:textId="77777777" w:rsidR="00257B32" w:rsidRDefault="00257B32" w:rsidP="004E7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E7E7" w14:textId="615BEC78" w:rsidR="005D2323" w:rsidRDefault="005D2323">
    <w:pPr>
      <w:pStyle w:val="Header"/>
      <w:rPr>
        <w:sz w:val="20"/>
        <w:szCs w:val="20"/>
      </w:rPr>
    </w:pPr>
    <w:r w:rsidRPr="004E7ABD">
      <w:rPr>
        <w:sz w:val="20"/>
        <w:szCs w:val="20"/>
      </w:rPr>
      <w:t xml:space="preserve">VBPD Comment on </w:t>
    </w:r>
    <w:r w:rsidR="009A65DE">
      <w:rPr>
        <w:sz w:val="20"/>
        <w:szCs w:val="20"/>
      </w:rPr>
      <w:t>12VAC 35-190; 35-200; and 35-210</w:t>
    </w:r>
  </w:p>
  <w:p w14:paraId="375F70C5" w14:textId="39B4B973" w:rsidR="005D2323" w:rsidRPr="004E7ABD" w:rsidRDefault="005D2323">
    <w:pPr>
      <w:pStyle w:val="Header"/>
      <w:rPr>
        <w:sz w:val="20"/>
        <w:szCs w:val="20"/>
      </w:rPr>
    </w:pPr>
    <w:r w:rsidRPr="004E7ABD">
      <w:rPr>
        <w:sz w:val="20"/>
        <w:szCs w:val="20"/>
      </w:rPr>
      <w:t xml:space="preserve">Page </w:t>
    </w:r>
    <w:sdt>
      <w:sdtPr>
        <w:rPr>
          <w:sz w:val="20"/>
          <w:szCs w:val="20"/>
        </w:rPr>
        <w:id w:val="-363056053"/>
        <w:docPartObj>
          <w:docPartGallery w:val="Page Numbers (Top of Page)"/>
          <w:docPartUnique/>
        </w:docPartObj>
      </w:sdtPr>
      <w:sdtEndPr>
        <w:rPr>
          <w:noProof/>
        </w:rPr>
      </w:sdtEndPr>
      <w:sdtContent>
        <w:r w:rsidRPr="004E7ABD">
          <w:rPr>
            <w:sz w:val="20"/>
            <w:szCs w:val="20"/>
          </w:rPr>
          <w:fldChar w:fldCharType="begin"/>
        </w:r>
        <w:r w:rsidRPr="004E7ABD">
          <w:rPr>
            <w:sz w:val="20"/>
            <w:szCs w:val="20"/>
          </w:rPr>
          <w:instrText xml:space="preserve"> PAGE   \* MERGEFORMAT </w:instrText>
        </w:r>
        <w:r w:rsidRPr="004E7ABD">
          <w:rPr>
            <w:sz w:val="20"/>
            <w:szCs w:val="20"/>
          </w:rPr>
          <w:fldChar w:fldCharType="separate"/>
        </w:r>
        <w:r w:rsidR="009E282C">
          <w:rPr>
            <w:noProof/>
            <w:sz w:val="20"/>
            <w:szCs w:val="20"/>
          </w:rPr>
          <w:t>3</w:t>
        </w:r>
        <w:r w:rsidRPr="004E7ABD">
          <w:rPr>
            <w:noProof/>
            <w:sz w:val="20"/>
            <w:szCs w:val="20"/>
          </w:rPr>
          <w:fldChar w:fldCharType="end"/>
        </w:r>
      </w:sdtContent>
    </w:sdt>
  </w:p>
  <w:p w14:paraId="637605F6" w14:textId="77777777" w:rsidR="005D2323" w:rsidRPr="004E7ABD" w:rsidRDefault="005D232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1C0"/>
    <w:multiLevelType w:val="hybridMultilevel"/>
    <w:tmpl w:val="7DEC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F1F"/>
    <w:multiLevelType w:val="hybridMultilevel"/>
    <w:tmpl w:val="4806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E7548"/>
    <w:multiLevelType w:val="hybridMultilevel"/>
    <w:tmpl w:val="5C3A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E3782"/>
    <w:multiLevelType w:val="hybridMultilevel"/>
    <w:tmpl w:val="6ABC4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8F7ACD"/>
    <w:multiLevelType w:val="hybridMultilevel"/>
    <w:tmpl w:val="BD18CA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4D69C1"/>
    <w:multiLevelType w:val="hybridMultilevel"/>
    <w:tmpl w:val="12664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9E"/>
    <w:rsid w:val="000049C8"/>
    <w:rsid w:val="00006B39"/>
    <w:rsid w:val="00014201"/>
    <w:rsid w:val="00014894"/>
    <w:rsid w:val="000165A8"/>
    <w:rsid w:val="00020853"/>
    <w:rsid w:val="000317B6"/>
    <w:rsid w:val="00034D3B"/>
    <w:rsid w:val="00035B32"/>
    <w:rsid w:val="00041635"/>
    <w:rsid w:val="00041AA0"/>
    <w:rsid w:val="0004526D"/>
    <w:rsid w:val="00055C60"/>
    <w:rsid w:val="00065325"/>
    <w:rsid w:val="000653FB"/>
    <w:rsid w:val="00073339"/>
    <w:rsid w:val="00080868"/>
    <w:rsid w:val="000A6899"/>
    <w:rsid w:val="000B5CAE"/>
    <w:rsid w:val="000C53D9"/>
    <w:rsid w:val="000D3586"/>
    <w:rsid w:val="000D43E7"/>
    <w:rsid w:val="000E251E"/>
    <w:rsid w:val="000E4955"/>
    <w:rsid w:val="00101BED"/>
    <w:rsid w:val="0010298E"/>
    <w:rsid w:val="00121B72"/>
    <w:rsid w:val="001229BB"/>
    <w:rsid w:val="00131272"/>
    <w:rsid w:val="00153768"/>
    <w:rsid w:val="00171CD0"/>
    <w:rsid w:val="001842B0"/>
    <w:rsid w:val="00195E5F"/>
    <w:rsid w:val="001A0458"/>
    <w:rsid w:val="001A559A"/>
    <w:rsid w:val="001A5606"/>
    <w:rsid w:val="001A57F9"/>
    <w:rsid w:val="001A6CDF"/>
    <w:rsid w:val="001B2DB5"/>
    <w:rsid w:val="001C5CA1"/>
    <w:rsid w:val="001E1573"/>
    <w:rsid w:val="001E3C92"/>
    <w:rsid w:val="001E4FB8"/>
    <w:rsid w:val="001F3FFD"/>
    <w:rsid w:val="001F757E"/>
    <w:rsid w:val="00205858"/>
    <w:rsid w:val="002064F4"/>
    <w:rsid w:val="00206729"/>
    <w:rsid w:val="00212CC7"/>
    <w:rsid w:val="00220593"/>
    <w:rsid w:val="002253D6"/>
    <w:rsid w:val="00225EBE"/>
    <w:rsid w:val="00227197"/>
    <w:rsid w:val="0023495E"/>
    <w:rsid w:val="002410CD"/>
    <w:rsid w:val="00245786"/>
    <w:rsid w:val="002506A6"/>
    <w:rsid w:val="0025143D"/>
    <w:rsid w:val="00252476"/>
    <w:rsid w:val="002559D8"/>
    <w:rsid w:val="002563FB"/>
    <w:rsid w:val="00257B32"/>
    <w:rsid w:val="00260C4F"/>
    <w:rsid w:val="00261520"/>
    <w:rsid w:val="00262D96"/>
    <w:rsid w:val="0028004F"/>
    <w:rsid w:val="00282504"/>
    <w:rsid w:val="00296037"/>
    <w:rsid w:val="00296F55"/>
    <w:rsid w:val="00297A57"/>
    <w:rsid w:val="002A3529"/>
    <w:rsid w:val="002A451C"/>
    <w:rsid w:val="002A495C"/>
    <w:rsid w:val="002A78C3"/>
    <w:rsid w:val="002B2E48"/>
    <w:rsid w:val="002E264D"/>
    <w:rsid w:val="002F0C7B"/>
    <w:rsid w:val="00304B30"/>
    <w:rsid w:val="00304C5F"/>
    <w:rsid w:val="00306778"/>
    <w:rsid w:val="0030767B"/>
    <w:rsid w:val="003229AF"/>
    <w:rsid w:val="00323A2D"/>
    <w:rsid w:val="00326C7A"/>
    <w:rsid w:val="00336AF4"/>
    <w:rsid w:val="0033755A"/>
    <w:rsid w:val="003505FE"/>
    <w:rsid w:val="00352270"/>
    <w:rsid w:val="00354BFC"/>
    <w:rsid w:val="00372AD8"/>
    <w:rsid w:val="0038010F"/>
    <w:rsid w:val="00380FFC"/>
    <w:rsid w:val="003B5F1F"/>
    <w:rsid w:val="003C07D1"/>
    <w:rsid w:val="003E0749"/>
    <w:rsid w:val="003F152E"/>
    <w:rsid w:val="003F30C1"/>
    <w:rsid w:val="00403806"/>
    <w:rsid w:val="0040537F"/>
    <w:rsid w:val="00407B1F"/>
    <w:rsid w:val="00407D79"/>
    <w:rsid w:val="004114BC"/>
    <w:rsid w:val="004217D3"/>
    <w:rsid w:val="004228A7"/>
    <w:rsid w:val="00424EFD"/>
    <w:rsid w:val="00432E06"/>
    <w:rsid w:val="00433AA5"/>
    <w:rsid w:val="00440E37"/>
    <w:rsid w:val="00450006"/>
    <w:rsid w:val="00453D4D"/>
    <w:rsid w:val="00461BCD"/>
    <w:rsid w:val="004631BA"/>
    <w:rsid w:val="0048274A"/>
    <w:rsid w:val="00482E1A"/>
    <w:rsid w:val="004B0BE0"/>
    <w:rsid w:val="004B0FF8"/>
    <w:rsid w:val="004B4C1D"/>
    <w:rsid w:val="004B75A0"/>
    <w:rsid w:val="004C0B90"/>
    <w:rsid w:val="004C4606"/>
    <w:rsid w:val="004D182B"/>
    <w:rsid w:val="004E02AB"/>
    <w:rsid w:val="004E441F"/>
    <w:rsid w:val="004E7ABD"/>
    <w:rsid w:val="004F690F"/>
    <w:rsid w:val="004F76D4"/>
    <w:rsid w:val="00500A73"/>
    <w:rsid w:val="00530A1B"/>
    <w:rsid w:val="00535C2A"/>
    <w:rsid w:val="005457C2"/>
    <w:rsid w:val="005576A5"/>
    <w:rsid w:val="0057385C"/>
    <w:rsid w:val="00573FE0"/>
    <w:rsid w:val="005847C0"/>
    <w:rsid w:val="00593486"/>
    <w:rsid w:val="005B2DED"/>
    <w:rsid w:val="005B3735"/>
    <w:rsid w:val="005B5173"/>
    <w:rsid w:val="005C0107"/>
    <w:rsid w:val="005D164E"/>
    <w:rsid w:val="005D2323"/>
    <w:rsid w:val="005D4D2E"/>
    <w:rsid w:val="005F0222"/>
    <w:rsid w:val="005F172A"/>
    <w:rsid w:val="005F7606"/>
    <w:rsid w:val="00600E2C"/>
    <w:rsid w:val="006033C4"/>
    <w:rsid w:val="00620F4E"/>
    <w:rsid w:val="006360A6"/>
    <w:rsid w:val="00647D7A"/>
    <w:rsid w:val="0065497C"/>
    <w:rsid w:val="006633CB"/>
    <w:rsid w:val="00670ABE"/>
    <w:rsid w:val="006719E2"/>
    <w:rsid w:val="00675CA3"/>
    <w:rsid w:val="00684044"/>
    <w:rsid w:val="00687FA1"/>
    <w:rsid w:val="00693A78"/>
    <w:rsid w:val="006B3A9E"/>
    <w:rsid w:val="006C0DEC"/>
    <w:rsid w:val="006C3B12"/>
    <w:rsid w:val="006D51D9"/>
    <w:rsid w:val="006D6003"/>
    <w:rsid w:val="006D6883"/>
    <w:rsid w:val="006E00B0"/>
    <w:rsid w:val="006E2822"/>
    <w:rsid w:val="006F3FD2"/>
    <w:rsid w:val="006F54FC"/>
    <w:rsid w:val="006F5D4E"/>
    <w:rsid w:val="006F725A"/>
    <w:rsid w:val="00704D65"/>
    <w:rsid w:val="00715649"/>
    <w:rsid w:val="007219CE"/>
    <w:rsid w:val="00721CC7"/>
    <w:rsid w:val="00726D8F"/>
    <w:rsid w:val="00727C08"/>
    <w:rsid w:val="007334DE"/>
    <w:rsid w:val="00750F91"/>
    <w:rsid w:val="00753B10"/>
    <w:rsid w:val="0076238F"/>
    <w:rsid w:val="0078090A"/>
    <w:rsid w:val="0078147A"/>
    <w:rsid w:val="00790449"/>
    <w:rsid w:val="00790BBD"/>
    <w:rsid w:val="00793A8C"/>
    <w:rsid w:val="007A341F"/>
    <w:rsid w:val="007A6355"/>
    <w:rsid w:val="007A6AF3"/>
    <w:rsid w:val="007A7E3F"/>
    <w:rsid w:val="007B47DC"/>
    <w:rsid w:val="007C342D"/>
    <w:rsid w:val="007C5FB9"/>
    <w:rsid w:val="007D2124"/>
    <w:rsid w:val="007D7B83"/>
    <w:rsid w:val="007E0A41"/>
    <w:rsid w:val="007E11F8"/>
    <w:rsid w:val="007E3158"/>
    <w:rsid w:val="007E7AEA"/>
    <w:rsid w:val="007F19C8"/>
    <w:rsid w:val="007F1D9C"/>
    <w:rsid w:val="007F44F0"/>
    <w:rsid w:val="007F7C38"/>
    <w:rsid w:val="00801940"/>
    <w:rsid w:val="008019DD"/>
    <w:rsid w:val="0082606A"/>
    <w:rsid w:val="0083378A"/>
    <w:rsid w:val="0083520E"/>
    <w:rsid w:val="00837BFD"/>
    <w:rsid w:val="00847AC3"/>
    <w:rsid w:val="00853951"/>
    <w:rsid w:val="00861B06"/>
    <w:rsid w:val="00862A15"/>
    <w:rsid w:val="00872434"/>
    <w:rsid w:val="008A6212"/>
    <w:rsid w:val="008B49A0"/>
    <w:rsid w:val="008B510D"/>
    <w:rsid w:val="008B5CB3"/>
    <w:rsid w:val="008C1F5A"/>
    <w:rsid w:val="008C3AD8"/>
    <w:rsid w:val="008C3D5F"/>
    <w:rsid w:val="008C4F21"/>
    <w:rsid w:val="008D11A8"/>
    <w:rsid w:val="008D1987"/>
    <w:rsid w:val="008D325B"/>
    <w:rsid w:val="008E58BD"/>
    <w:rsid w:val="008F5639"/>
    <w:rsid w:val="00904F9B"/>
    <w:rsid w:val="00907585"/>
    <w:rsid w:val="0091332A"/>
    <w:rsid w:val="0091746D"/>
    <w:rsid w:val="009421DB"/>
    <w:rsid w:val="00943EB1"/>
    <w:rsid w:val="00947DCD"/>
    <w:rsid w:val="00952D86"/>
    <w:rsid w:val="009673E7"/>
    <w:rsid w:val="0097539F"/>
    <w:rsid w:val="009757C1"/>
    <w:rsid w:val="00985282"/>
    <w:rsid w:val="009903E2"/>
    <w:rsid w:val="009905D4"/>
    <w:rsid w:val="00996B8C"/>
    <w:rsid w:val="009A6591"/>
    <w:rsid w:val="009A65DE"/>
    <w:rsid w:val="009B7FDF"/>
    <w:rsid w:val="009C294E"/>
    <w:rsid w:val="009D2B25"/>
    <w:rsid w:val="009D3AC1"/>
    <w:rsid w:val="009E282C"/>
    <w:rsid w:val="009E3B4E"/>
    <w:rsid w:val="009F0464"/>
    <w:rsid w:val="009F22BD"/>
    <w:rsid w:val="00A01040"/>
    <w:rsid w:val="00A01B63"/>
    <w:rsid w:val="00A11C33"/>
    <w:rsid w:val="00A11F26"/>
    <w:rsid w:val="00A1291E"/>
    <w:rsid w:val="00A22BB5"/>
    <w:rsid w:val="00A2782B"/>
    <w:rsid w:val="00A50327"/>
    <w:rsid w:val="00A521B8"/>
    <w:rsid w:val="00A622AE"/>
    <w:rsid w:val="00A636C9"/>
    <w:rsid w:val="00A70DB2"/>
    <w:rsid w:val="00A7260E"/>
    <w:rsid w:val="00A821E3"/>
    <w:rsid w:val="00A82F3D"/>
    <w:rsid w:val="00A87B72"/>
    <w:rsid w:val="00AA6A5A"/>
    <w:rsid w:val="00AD6352"/>
    <w:rsid w:val="00AD6A47"/>
    <w:rsid w:val="00AE2802"/>
    <w:rsid w:val="00AE3037"/>
    <w:rsid w:val="00AE45DE"/>
    <w:rsid w:val="00AF76C7"/>
    <w:rsid w:val="00B016CE"/>
    <w:rsid w:val="00B03753"/>
    <w:rsid w:val="00B048AA"/>
    <w:rsid w:val="00B13C92"/>
    <w:rsid w:val="00B21E8B"/>
    <w:rsid w:val="00B41CFC"/>
    <w:rsid w:val="00B45F8E"/>
    <w:rsid w:val="00B5109A"/>
    <w:rsid w:val="00B52BE9"/>
    <w:rsid w:val="00B56983"/>
    <w:rsid w:val="00B57B3E"/>
    <w:rsid w:val="00B62F93"/>
    <w:rsid w:val="00B63433"/>
    <w:rsid w:val="00B64B59"/>
    <w:rsid w:val="00B72C68"/>
    <w:rsid w:val="00B9598B"/>
    <w:rsid w:val="00B95ABA"/>
    <w:rsid w:val="00BB153F"/>
    <w:rsid w:val="00BB219B"/>
    <w:rsid w:val="00BB3BD2"/>
    <w:rsid w:val="00BB4137"/>
    <w:rsid w:val="00BC1860"/>
    <w:rsid w:val="00BD06E6"/>
    <w:rsid w:val="00BD5204"/>
    <w:rsid w:val="00BE694B"/>
    <w:rsid w:val="00C017C9"/>
    <w:rsid w:val="00C17C80"/>
    <w:rsid w:val="00C24CF4"/>
    <w:rsid w:val="00C2526D"/>
    <w:rsid w:val="00C26CFC"/>
    <w:rsid w:val="00C272C2"/>
    <w:rsid w:val="00C30BCC"/>
    <w:rsid w:val="00C31C62"/>
    <w:rsid w:val="00C4206F"/>
    <w:rsid w:val="00C436DC"/>
    <w:rsid w:val="00C46B8D"/>
    <w:rsid w:val="00C54F45"/>
    <w:rsid w:val="00C576AC"/>
    <w:rsid w:val="00C57B88"/>
    <w:rsid w:val="00C60722"/>
    <w:rsid w:val="00C61DAB"/>
    <w:rsid w:val="00C66CDB"/>
    <w:rsid w:val="00C70E2B"/>
    <w:rsid w:val="00C74B5D"/>
    <w:rsid w:val="00C7549C"/>
    <w:rsid w:val="00C77FE5"/>
    <w:rsid w:val="00CA20DE"/>
    <w:rsid w:val="00CB16F4"/>
    <w:rsid w:val="00CB21B3"/>
    <w:rsid w:val="00CB3E00"/>
    <w:rsid w:val="00CB45F2"/>
    <w:rsid w:val="00CC225F"/>
    <w:rsid w:val="00CC32C2"/>
    <w:rsid w:val="00CD3A8F"/>
    <w:rsid w:val="00CE7CC8"/>
    <w:rsid w:val="00CF2B97"/>
    <w:rsid w:val="00CF6F06"/>
    <w:rsid w:val="00D14AD6"/>
    <w:rsid w:val="00D1500F"/>
    <w:rsid w:val="00D2460F"/>
    <w:rsid w:val="00D24E6C"/>
    <w:rsid w:val="00D27D9E"/>
    <w:rsid w:val="00D30724"/>
    <w:rsid w:val="00D324F4"/>
    <w:rsid w:val="00D36ACE"/>
    <w:rsid w:val="00D54D23"/>
    <w:rsid w:val="00D57FA1"/>
    <w:rsid w:val="00D619F3"/>
    <w:rsid w:val="00D738D6"/>
    <w:rsid w:val="00D90D50"/>
    <w:rsid w:val="00D92888"/>
    <w:rsid w:val="00D92BE2"/>
    <w:rsid w:val="00D938FE"/>
    <w:rsid w:val="00DA09A8"/>
    <w:rsid w:val="00DA0AF1"/>
    <w:rsid w:val="00DA5781"/>
    <w:rsid w:val="00DC304D"/>
    <w:rsid w:val="00DC44B1"/>
    <w:rsid w:val="00DD21E2"/>
    <w:rsid w:val="00DD63FC"/>
    <w:rsid w:val="00E00EB5"/>
    <w:rsid w:val="00E013BA"/>
    <w:rsid w:val="00E065DA"/>
    <w:rsid w:val="00E06B42"/>
    <w:rsid w:val="00E07D64"/>
    <w:rsid w:val="00E1235D"/>
    <w:rsid w:val="00E142F6"/>
    <w:rsid w:val="00E15D5B"/>
    <w:rsid w:val="00E26F38"/>
    <w:rsid w:val="00E30BD3"/>
    <w:rsid w:val="00E34FD8"/>
    <w:rsid w:val="00E45421"/>
    <w:rsid w:val="00E52560"/>
    <w:rsid w:val="00E56A1A"/>
    <w:rsid w:val="00E6131B"/>
    <w:rsid w:val="00E613F0"/>
    <w:rsid w:val="00E62612"/>
    <w:rsid w:val="00E62632"/>
    <w:rsid w:val="00E65D48"/>
    <w:rsid w:val="00E7293C"/>
    <w:rsid w:val="00E73479"/>
    <w:rsid w:val="00E73DB6"/>
    <w:rsid w:val="00E828D5"/>
    <w:rsid w:val="00E93AD9"/>
    <w:rsid w:val="00E95D37"/>
    <w:rsid w:val="00EB167E"/>
    <w:rsid w:val="00EC2544"/>
    <w:rsid w:val="00EC47C4"/>
    <w:rsid w:val="00EE03FF"/>
    <w:rsid w:val="00EF44FB"/>
    <w:rsid w:val="00F01A12"/>
    <w:rsid w:val="00F06152"/>
    <w:rsid w:val="00F06936"/>
    <w:rsid w:val="00F135F1"/>
    <w:rsid w:val="00F139DA"/>
    <w:rsid w:val="00F1503A"/>
    <w:rsid w:val="00F20BEC"/>
    <w:rsid w:val="00F2717A"/>
    <w:rsid w:val="00F27BC0"/>
    <w:rsid w:val="00F313FE"/>
    <w:rsid w:val="00F40641"/>
    <w:rsid w:val="00F52D09"/>
    <w:rsid w:val="00F61E9F"/>
    <w:rsid w:val="00F76088"/>
    <w:rsid w:val="00F77477"/>
    <w:rsid w:val="00F77A5E"/>
    <w:rsid w:val="00F81472"/>
    <w:rsid w:val="00F863C2"/>
    <w:rsid w:val="00F915B5"/>
    <w:rsid w:val="00F9457E"/>
    <w:rsid w:val="00F97CEA"/>
    <w:rsid w:val="00FB1289"/>
    <w:rsid w:val="00FB69FD"/>
    <w:rsid w:val="00FC2320"/>
    <w:rsid w:val="00FC600F"/>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5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A12"/>
    <w:rPr>
      <w:rFonts w:ascii="Tahoma" w:hAnsi="Tahoma" w:cs="Tahoma"/>
      <w:sz w:val="16"/>
      <w:szCs w:val="16"/>
    </w:rPr>
  </w:style>
  <w:style w:type="character" w:styleId="Hyperlink">
    <w:name w:val="Hyperlink"/>
    <w:basedOn w:val="DefaultParagraphFont"/>
    <w:uiPriority w:val="99"/>
    <w:unhideWhenUsed/>
    <w:rsid w:val="00F01A12"/>
    <w:rPr>
      <w:color w:val="0000FF"/>
      <w:u w:val="single"/>
    </w:rPr>
  </w:style>
  <w:style w:type="paragraph" w:styleId="Header">
    <w:name w:val="header"/>
    <w:basedOn w:val="Normal"/>
    <w:link w:val="HeaderChar"/>
    <w:uiPriority w:val="99"/>
    <w:unhideWhenUsed/>
    <w:rsid w:val="004E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BD"/>
  </w:style>
  <w:style w:type="paragraph" w:styleId="Footer">
    <w:name w:val="footer"/>
    <w:basedOn w:val="Normal"/>
    <w:link w:val="FooterChar"/>
    <w:uiPriority w:val="99"/>
    <w:unhideWhenUsed/>
    <w:rsid w:val="004E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BD"/>
  </w:style>
  <w:style w:type="paragraph" w:styleId="ListParagraph">
    <w:name w:val="List Paragraph"/>
    <w:basedOn w:val="Normal"/>
    <w:uiPriority w:val="34"/>
    <w:qFormat/>
    <w:rsid w:val="00EC47C4"/>
    <w:pPr>
      <w:ind w:left="720"/>
      <w:contextualSpacing/>
    </w:pPr>
  </w:style>
  <w:style w:type="character" w:customStyle="1" w:styleId="Heading2Char">
    <w:name w:val="Heading 2 Char"/>
    <w:basedOn w:val="DefaultParagraphFont"/>
    <w:link w:val="Heading2"/>
    <w:uiPriority w:val="9"/>
    <w:rsid w:val="008E58BD"/>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F690F"/>
    <w:rPr>
      <w:sz w:val="16"/>
      <w:szCs w:val="16"/>
    </w:rPr>
  </w:style>
  <w:style w:type="paragraph" w:styleId="CommentText">
    <w:name w:val="annotation text"/>
    <w:basedOn w:val="Normal"/>
    <w:link w:val="CommentTextChar"/>
    <w:uiPriority w:val="99"/>
    <w:semiHidden/>
    <w:unhideWhenUsed/>
    <w:rsid w:val="004F690F"/>
    <w:pPr>
      <w:spacing w:line="240" w:lineRule="auto"/>
    </w:pPr>
    <w:rPr>
      <w:sz w:val="20"/>
      <w:szCs w:val="20"/>
    </w:rPr>
  </w:style>
  <w:style w:type="character" w:customStyle="1" w:styleId="CommentTextChar">
    <w:name w:val="Comment Text Char"/>
    <w:basedOn w:val="DefaultParagraphFont"/>
    <w:link w:val="CommentText"/>
    <w:uiPriority w:val="99"/>
    <w:semiHidden/>
    <w:rsid w:val="004F690F"/>
    <w:rPr>
      <w:sz w:val="20"/>
      <w:szCs w:val="20"/>
    </w:rPr>
  </w:style>
  <w:style w:type="table" w:styleId="TableGrid">
    <w:name w:val="Table Grid"/>
    <w:basedOn w:val="TableNormal"/>
    <w:uiPriority w:val="59"/>
    <w:rsid w:val="009E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5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A12"/>
    <w:rPr>
      <w:rFonts w:ascii="Tahoma" w:hAnsi="Tahoma" w:cs="Tahoma"/>
      <w:sz w:val="16"/>
      <w:szCs w:val="16"/>
    </w:rPr>
  </w:style>
  <w:style w:type="character" w:styleId="Hyperlink">
    <w:name w:val="Hyperlink"/>
    <w:basedOn w:val="DefaultParagraphFont"/>
    <w:uiPriority w:val="99"/>
    <w:unhideWhenUsed/>
    <w:rsid w:val="00F01A12"/>
    <w:rPr>
      <w:color w:val="0000FF"/>
      <w:u w:val="single"/>
    </w:rPr>
  </w:style>
  <w:style w:type="paragraph" w:styleId="Header">
    <w:name w:val="header"/>
    <w:basedOn w:val="Normal"/>
    <w:link w:val="HeaderChar"/>
    <w:uiPriority w:val="99"/>
    <w:unhideWhenUsed/>
    <w:rsid w:val="004E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BD"/>
  </w:style>
  <w:style w:type="paragraph" w:styleId="Footer">
    <w:name w:val="footer"/>
    <w:basedOn w:val="Normal"/>
    <w:link w:val="FooterChar"/>
    <w:uiPriority w:val="99"/>
    <w:unhideWhenUsed/>
    <w:rsid w:val="004E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BD"/>
  </w:style>
  <w:style w:type="paragraph" w:styleId="ListParagraph">
    <w:name w:val="List Paragraph"/>
    <w:basedOn w:val="Normal"/>
    <w:uiPriority w:val="34"/>
    <w:qFormat/>
    <w:rsid w:val="00EC47C4"/>
    <w:pPr>
      <w:ind w:left="720"/>
      <w:contextualSpacing/>
    </w:pPr>
  </w:style>
  <w:style w:type="character" w:customStyle="1" w:styleId="Heading2Char">
    <w:name w:val="Heading 2 Char"/>
    <w:basedOn w:val="DefaultParagraphFont"/>
    <w:link w:val="Heading2"/>
    <w:uiPriority w:val="9"/>
    <w:rsid w:val="008E58BD"/>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F690F"/>
    <w:rPr>
      <w:sz w:val="16"/>
      <w:szCs w:val="16"/>
    </w:rPr>
  </w:style>
  <w:style w:type="paragraph" w:styleId="CommentText">
    <w:name w:val="annotation text"/>
    <w:basedOn w:val="Normal"/>
    <w:link w:val="CommentTextChar"/>
    <w:uiPriority w:val="99"/>
    <w:semiHidden/>
    <w:unhideWhenUsed/>
    <w:rsid w:val="004F690F"/>
    <w:pPr>
      <w:spacing w:line="240" w:lineRule="auto"/>
    </w:pPr>
    <w:rPr>
      <w:sz w:val="20"/>
      <w:szCs w:val="20"/>
    </w:rPr>
  </w:style>
  <w:style w:type="character" w:customStyle="1" w:styleId="CommentTextChar">
    <w:name w:val="Comment Text Char"/>
    <w:basedOn w:val="DefaultParagraphFont"/>
    <w:link w:val="CommentText"/>
    <w:uiPriority w:val="99"/>
    <w:semiHidden/>
    <w:rsid w:val="004F690F"/>
    <w:rPr>
      <w:sz w:val="20"/>
      <w:szCs w:val="20"/>
    </w:rPr>
  </w:style>
  <w:style w:type="table" w:styleId="TableGrid">
    <w:name w:val="Table Grid"/>
    <w:basedOn w:val="TableNormal"/>
    <w:uiPriority w:val="59"/>
    <w:rsid w:val="009E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537">
      <w:bodyDiv w:val="1"/>
      <w:marLeft w:val="0"/>
      <w:marRight w:val="0"/>
      <w:marTop w:val="0"/>
      <w:marBottom w:val="0"/>
      <w:divBdr>
        <w:top w:val="none" w:sz="0" w:space="0" w:color="auto"/>
        <w:left w:val="none" w:sz="0" w:space="0" w:color="auto"/>
        <w:bottom w:val="none" w:sz="0" w:space="0" w:color="auto"/>
        <w:right w:val="none" w:sz="0" w:space="0" w:color="auto"/>
      </w:divBdr>
    </w:div>
    <w:div w:id="699090877">
      <w:bodyDiv w:val="1"/>
      <w:marLeft w:val="0"/>
      <w:marRight w:val="0"/>
      <w:marTop w:val="0"/>
      <w:marBottom w:val="0"/>
      <w:divBdr>
        <w:top w:val="none" w:sz="0" w:space="0" w:color="auto"/>
        <w:left w:val="none" w:sz="0" w:space="0" w:color="auto"/>
        <w:bottom w:val="none" w:sz="0" w:space="0" w:color="auto"/>
        <w:right w:val="none" w:sz="0" w:space="0" w:color="auto"/>
      </w:divBdr>
    </w:div>
    <w:div w:id="699547491">
      <w:bodyDiv w:val="1"/>
      <w:marLeft w:val="0"/>
      <w:marRight w:val="0"/>
      <w:marTop w:val="0"/>
      <w:marBottom w:val="0"/>
      <w:divBdr>
        <w:top w:val="none" w:sz="0" w:space="0" w:color="auto"/>
        <w:left w:val="none" w:sz="0" w:space="0" w:color="auto"/>
        <w:bottom w:val="none" w:sz="0" w:space="0" w:color="auto"/>
        <w:right w:val="none" w:sz="0" w:space="0" w:color="auto"/>
      </w:divBdr>
    </w:div>
    <w:div w:id="1184786695">
      <w:bodyDiv w:val="1"/>
      <w:marLeft w:val="0"/>
      <w:marRight w:val="0"/>
      <w:marTop w:val="0"/>
      <w:marBottom w:val="0"/>
      <w:divBdr>
        <w:top w:val="none" w:sz="0" w:space="0" w:color="auto"/>
        <w:left w:val="none" w:sz="0" w:space="0" w:color="auto"/>
        <w:bottom w:val="none" w:sz="0" w:space="0" w:color="auto"/>
        <w:right w:val="none" w:sz="0" w:space="0" w:color="auto"/>
      </w:divBdr>
    </w:div>
    <w:div w:id="1291788824">
      <w:bodyDiv w:val="1"/>
      <w:marLeft w:val="0"/>
      <w:marRight w:val="0"/>
      <w:marTop w:val="0"/>
      <w:marBottom w:val="0"/>
      <w:divBdr>
        <w:top w:val="none" w:sz="0" w:space="0" w:color="auto"/>
        <w:left w:val="none" w:sz="0" w:space="0" w:color="auto"/>
        <w:bottom w:val="none" w:sz="0" w:space="0" w:color="auto"/>
        <w:right w:val="none" w:sz="0" w:space="0" w:color="auto"/>
      </w:divBdr>
    </w:div>
    <w:div w:id="1441026047">
      <w:bodyDiv w:val="1"/>
      <w:marLeft w:val="0"/>
      <w:marRight w:val="0"/>
      <w:marTop w:val="0"/>
      <w:marBottom w:val="0"/>
      <w:divBdr>
        <w:top w:val="none" w:sz="0" w:space="0" w:color="auto"/>
        <w:left w:val="none" w:sz="0" w:space="0" w:color="auto"/>
        <w:bottom w:val="none" w:sz="0" w:space="0" w:color="auto"/>
        <w:right w:val="none" w:sz="0" w:space="0" w:color="auto"/>
      </w:divBdr>
    </w:div>
    <w:div w:id="1494838201">
      <w:bodyDiv w:val="1"/>
      <w:marLeft w:val="0"/>
      <w:marRight w:val="0"/>
      <w:marTop w:val="0"/>
      <w:marBottom w:val="0"/>
      <w:divBdr>
        <w:top w:val="none" w:sz="0" w:space="0" w:color="auto"/>
        <w:left w:val="none" w:sz="0" w:space="0" w:color="auto"/>
        <w:bottom w:val="none" w:sz="0" w:space="0" w:color="auto"/>
        <w:right w:val="none" w:sz="0" w:space="0" w:color="auto"/>
      </w:divBdr>
    </w:div>
    <w:div w:id="1527518544">
      <w:bodyDiv w:val="1"/>
      <w:marLeft w:val="0"/>
      <w:marRight w:val="0"/>
      <w:marTop w:val="0"/>
      <w:marBottom w:val="0"/>
      <w:divBdr>
        <w:top w:val="none" w:sz="0" w:space="0" w:color="auto"/>
        <w:left w:val="none" w:sz="0" w:space="0" w:color="auto"/>
        <w:bottom w:val="none" w:sz="0" w:space="0" w:color="auto"/>
        <w:right w:val="none" w:sz="0" w:space="0" w:color="auto"/>
      </w:divBdr>
    </w:div>
    <w:div w:id="20147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idi.Lawyer@vbpd.virginia.gov"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townhall.virginia.gov/L/ViewNotice.cfm?gnid=7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wnhall.virginia.gov/L/ViewNotice.cfm?gnid=76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wnhall.virginia.gov/L/ViewNotice.cfm?gnid=765"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NKAHMF2WWKTP-399312027-2067</_dlc_DocId>
    <_dlc_DocIdUrl xmlns="89461f00-0b74-46d7-ba90-7a84aa4e2ee4">
      <Url>https://sharepoint.wwrc.net/VBPDdocs/_layouts/15/DocIdRedir.aspx?ID=NKAHMF2WWKTP-399312027-2067</Url>
      <Description>NKAHMF2WWKTP-399312027-2067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75225-B00B-48AA-B6C1-E1D17A60C887}"/>
</file>

<file path=customXml/itemProps2.xml><?xml version="1.0" encoding="utf-8"?>
<ds:datastoreItem xmlns:ds="http://schemas.openxmlformats.org/officeDocument/2006/customXml" ds:itemID="{4A1E4D4A-FCCF-40AA-BC62-12AE26BCC95D}"/>
</file>

<file path=customXml/itemProps3.xml><?xml version="1.0" encoding="utf-8"?>
<ds:datastoreItem xmlns:ds="http://schemas.openxmlformats.org/officeDocument/2006/customXml" ds:itemID="{D287B019-C251-43DA-A300-D13A3806F513}"/>
</file>

<file path=customXml/itemProps4.xml><?xml version="1.0" encoding="utf-8"?>
<ds:datastoreItem xmlns:ds="http://schemas.openxmlformats.org/officeDocument/2006/customXml" ds:itemID="{9B260A1C-1789-4CC2-825C-990FBFF41714}"/>
</file>

<file path=customXml/itemProps5.xml><?xml version="1.0" encoding="utf-8"?>
<ds:datastoreItem xmlns:ds="http://schemas.openxmlformats.org/officeDocument/2006/customXml" ds:itemID="{D0857D2F-EBEF-40A9-A6DC-7F3FCBF357E6}"/>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4</cp:revision>
  <cp:lastPrinted>2015-09-30T12:08:00Z</cp:lastPrinted>
  <dcterms:created xsi:type="dcterms:W3CDTF">2017-10-31T16:17:00Z</dcterms:created>
  <dcterms:modified xsi:type="dcterms:W3CDTF">2017-10-31T17:31:00Z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c609f814-c6a2-4149-b063-56b9a8da5494</vt:lpwstr>
  </property>
</Properties>
</file>