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2BED">
      <w:pPr>
        <w:pStyle w:val="BodyText"/>
        <w:kinsoku w:val="0"/>
        <w:overflowPunct w:val="0"/>
        <w:ind w:left="477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923290" cy="905510"/>
            <wp:effectExtent l="0" t="0" r="0" b="8890"/>
            <wp:docPr id="4" name="Picture 1"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05510"/>
                    </a:xfrm>
                    <a:prstGeom prst="rect">
                      <a:avLst/>
                    </a:prstGeom>
                    <a:noFill/>
                    <a:ln>
                      <a:noFill/>
                    </a:ln>
                  </pic:spPr>
                </pic:pic>
              </a:graphicData>
            </a:graphic>
          </wp:inline>
        </w:drawing>
      </w:r>
    </w:p>
    <w:p w:rsidR="00000000" w:rsidRDefault="00B8558B">
      <w:pPr>
        <w:pStyle w:val="BodyText"/>
        <w:kinsoku w:val="0"/>
        <w:overflowPunct w:val="0"/>
        <w:spacing w:before="33"/>
        <w:ind w:left="3238" w:right="3414"/>
        <w:jc w:val="center"/>
        <w:rPr>
          <w:rFonts w:ascii="Copperplate Gothic Light" w:hAnsi="Copperplate Gothic Light" w:cs="Copperplate Gothic Light"/>
          <w:color w:val="00529F"/>
        </w:rPr>
      </w:pPr>
      <w:r>
        <w:rPr>
          <w:rFonts w:ascii="Copperplate Gothic Light" w:hAnsi="Copperplate Gothic Light" w:cs="Copperplate Gothic Light"/>
          <w:color w:val="00529F"/>
        </w:rPr>
        <w:t>Commonwealth of Virginia</w:t>
      </w:r>
    </w:p>
    <w:p w:rsidR="00000000" w:rsidRDefault="00B8558B">
      <w:pPr>
        <w:pStyle w:val="BodyText"/>
        <w:kinsoku w:val="0"/>
        <w:overflowPunct w:val="0"/>
        <w:spacing w:before="26"/>
        <w:ind w:left="3238" w:right="3414"/>
        <w:jc w:val="center"/>
        <w:rPr>
          <w:rFonts w:ascii="Times New Roman" w:hAnsi="Times New Roman" w:cs="Times New Roman"/>
          <w:i/>
          <w:iCs/>
          <w:color w:val="00529F"/>
        </w:rPr>
      </w:pPr>
      <w:r>
        <w:rPr>
          <w:rFonts w:ascii="Times New Roman" w:hAnsi="Times New Roman" w:cs="Times New Roman"/>
          <w:i/>
          <w:iCs/>
          <w:color w:val="00529F"/>
        </w:rPr>
        <w:t>Virginia Board for People with Disabilities</w:t>
      </w:r>
    </w:p>
    <w:p w:rsidR="00000000" w:rsidRDefault="00B8558B">
      <w:pPr>
        <w:pStyle w:val="BodyText"/>
        <w:kinsoku w:val="0"/>
        <w:overflowPunct w:val="0"/>
        <w:spacing w:before="8" w:after="1"/>
        <w:rPr>
          <w:rFonts w:ascii="Times New Roman" w:hAnsi="Times New Roman" w:cs="Times New Roman"/>
          <w:i/>
          <w:i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Virginia Board for People with Disabilities"/>
      </w:tblPr>
      <w:tblGrid>
        <w:gridCol w:w="2826"/>
        <w:gridCol w:w="5022"/>
        <w:gridCol w:w="2775"/>
      </w:tblGrid>
      <w:tr w:rsidR="00000000" w:rsidTr="00C5067C">
        <w:trPr>
          <w:trHeight w:val="180"/>
          <w:tblHeader/>
        </w:trPr>
        <w:tc>
          <w:tcPr>
            <w:tcW w:w="2826" w:type="dxa"/>
          </w:tcPr>
          <w:p w:rsidR="00000000" w:rsidRDefault="00B8558B">
            <w:pPr>
              <w:pStyle w:val="TableParagraph"/>
              <w:kinsoku w:val="0"/>
              <w:overflowPunct w:val="0"/>
              <w:spacing w:line="179" w:lineRule="exact"/>
              <w:ind w:left="200"/>
              <w:rPr>
                <w:b/>
                <w:bCs/>
                <w:color w:val="365F91"/>
                <w:sz w:val="20"/>
                <w:szCs w:val="20"/>
              </w:rPr>
            </w:pPr>
            <w:bookmarkStart w:id="0" w:name="_GoBack"/>
            <w:r>
              <w:rPr>
                <w:b/>
                <w:bCs/>
                <w:color w:val="365F91"/>
                <w:sz w:val="20"/>
                <w:szCs w:val="20"/>
              </w:rPr>
              <w:t>John Kelly</w:t>
            </w:r>
          </w:p>
        </w:tc>
        <w:tc>
          <w:tcPr>
            <w:tcW w:w="5022" w:type="dxa"/>
          </w:tcPr>
          <w:p w:rsidR="00000000" w:rsidRDefault="00B8558B">
            <w:pPr>
              <w:pStyle w:val="TableParagraph"/>
              <w:kinsoku w:val="0"/>
              <w:overflowPunct w:val="0"/>
              <w:spacing w:line="179" w:lineRule="exact"/>
              <w:ind w:left="938" w:right="653"/>
              <w:jc w:val="center"/>
              <w:rPr>
                <w:i/>
                <w:iCs/>
                <w:color w:val="365F91"/>
                <w:sz w:val="20"/>
                <w:szCs w:val="20"/>
              </w:rPr>
            </w:pPr>
            <w:r>
              <w:rPr>
                <w:i/>
                <w:iCs/>
                <w:color w:val="365F91"/>
                <w:sz w:val="20"/>
                <w:szCs w:val="20"/>
              </w:rPr>
              <w:t>Washington Building, Capitol Square</w:t>
            </w:r>
          </w:p>
        </w:tc>
        <w:tc>
          <w:tcPr>
            <w:tcW w:w="2775" w:type="dxa"/>
          </w:tcPr>
          <w:p w:rsidR="00000000" w:rsidRDefault="00B8558B">
            <w:pPr>
              <w:pStyle w:val="TableParagraph"/>
              <w:kinsoku w:val="0"/>
              <w:overflowPunct w:val="0"/>
              <w:spacing w:line="179" w:lineRule="exact"/>
              <w:ind w:right="198"/>
              <w:jc w:val="right"/>
              <w:rPr>
                <w:color w:val="365F91"/>
                <w:sz w:val="20"/>
                <w:szCs w:val="20"/>
              </w:rPr>
            </w:pPr>
            <w:r>
              <w:rPr>
                <w:color w:val="365F91"/>
                <w:sz w:val="20"/>
                <w:szCs w:val="20"/>
              </w:rPr>
              <w:t>804-786-0016 (TTY/Voice)</w:t>
            </w:r>
          </w:p>
        </w:tc>
      </w:tr>
      <w:tr w:rsidR="00000000" w:rsidTr="00C5067C">
        <w:trPr>
          <w:trHeight w:val="200"/>
        </w:trPr>
        <w:tc>
          <w:tcPr>
            <w:tcW w:w="2826" w:type="dxa"/>
          </w:tcPr>
          <w:p w:rsidR="00000000" w:rsidRDefault="00B8558B">
            <w:pPr>
              <w:pStyle w:val="TableParagraph"/>
              <w:kinsoku w:val="0"/>
              <w:overflowPunct w:val="0"/>
              <w:ind w:left="200"/>
              <w:rPr>
                <w:i/>
                <w:iCs/>
                <w:color w:val="365F91"/>
                <w:sz w:val="20"/>
                <w:szCs w:val="20"/>
              </w:rPr>
            </w:pPr>
            <w:r>
              <w:rPr>
                <w:i/>
                <w:iCs/>
                <w:color w:val="365F91"/>
                <w:sz w:val="20"/>
                <w:szCs w:val="20"/>
              </w:rPr>
              <w:t>Chair</w:t>
            </w:r>
          </w:p>
        </w:tc>
        <w:tc>
          <w:tcPr>
            <w:tcW w:w="5022" w:type="dxa"/>
          </w:tcPr>
          <w:p w:rsidR="00000000" w:rsidRDefault="00B8558B">
            <w:pPr>
              <w:pStyle w:val="TableParagraph"/>
              <w:kinsoku w:val="0"/>
              <w:overflowPunct w:val="0"/>
              <w:ind w:left="937" w:right="653"/>
              <w:jc w:val="center"/>
              <w:rPr>
                <w:i/>
                <w:iCs/>
                <w:color w:val="365F91"/>
                <w:sz w:val="20"/>
                <w:szCs w:val="20"/>
              </w:rPr>
            </w:pPr>
            <w:r>
              <w:rPr>
                <w:i/>
                <w:iCs/>
                <w:color w:val="365F91"/>
                <w:sz w:val="20"/>
                <w:szCs w:val="20"/>
              </w:rPr>
              <w:t>1100 Bank Street, 7th Floor</w:t>
            </w:r>
          </w:p>
        </w:tc>
        <w:tc>
          <w:tcPr>
            <w:tcW w:w="2775" w:type="dxa"/>
          </w:tcPr>
          <w:p w:rsidR="00000000" w:rsidRDefault="00B8558B">
            <w:pPr>
              <w:pStyle w:val="TableParagraph"/>
              <w:kinsoku w:val="0"/>
              <w:overflowPunct w:val="0"/>
              <w:ind w:right="198"/>
              <w:jc w:val="right"/>
              <w:rPr>
                <w:color w:val="365F91"/>
                <w:sz w:val="20"/>
                <w:szCs w:val="20"/>
              </w:rPr>
            </w:pPr>
            <w:r>
              <w:rPr>
                <w:color w:val="365F91"/>
                <w:sz w:val="20"/>
                <w:szCs w:val="20"/>
              </w:rPr>
              <w:t>1-800-846-4464 (TTY/ Voice)</w:t>
            </w:r>
          </w:p>
        </w:tc>
      </w:tr>
      <w:tr w:rsidR="00000000" w:rsidTr="00C5067C">
        <w:trPr>
          <w:trHeight w:val="200"/>
        </w:trPr>
        <w:tc>
          <w:tcPr>
            <w:tcW w:w="2826" w:type="dxa"/>
          </w:tcPr>
          <w:p w:rsidR="00000000" w:rsidRDefault="00B8558B">
            <w:pPr>
              <w:pStyle w:val="TableParagraph"/>
              <w:kinsoku w:val="0"/>
              <w:overflowPunct w:val="0"/>
              <w:ind w:left="200"/>
              <w:rPr>
                <w:b/>
                <w:bCs/>
                <w:color w:val="365F91"/>
                <w:sz w:val="20"/>
                <w:szCs w:val="20"/>
              </w:rPr>
            </w:pPr>
            <w:r>
              <w:rPr>
                <w:b/>
                <w:bCs/>
                <w:color w:val="365F91"/>
                <w:sz w:val="20"/>
                <w:szCs w:val="20"/>
              </w:rPr>
              <w:t xml:space="preserve">Linda </w:t>
            </w:r>
            <w:proofErr w:type="spellStart"/>
            <w:r>
              <w:rPr>
                <w:b/>
                <w:bCs/>
                <w:color w:val="365F91"/>
                <w:sz w:val="20"/>
                <w:szCs w:val="20"/>
              </w:rPr>
              <w:t>Broady</w:t>
            </w:r>
            <w:proofErr w:type="spellEnd"/>
            <w:r>
              <w:rPr>
                <w:b/>
                <w:bCs/>
                <w:color w:val="365F91"/>
                <w:sz w:val="20"/>
                <w:szCs w:val="20"/>
              </w:rPr>
              <w:t>-Myers</w:t>
            </w:r>
          </w:p>
        </w:tc>
        <w:tc>
          <w:tcPr>
            <w:tcW w:w="5022" w:type="dxa"/>
          </w:tcPr>
          <w:p w:rsidR="00000000" w:rsidRDefault="00B8558B">
            <w:pPr>
              <w:pStyle w:val="TableParagraph"/>
              <w:kinsoku w:val="0"/>
              <w:overflowPunct w:val="0"/>
              <w:ind w:left="937" w:right="653"/>
              <w:jc w:val="center"/>
              <w:rPr>
                <w:i/>
                <w:iCs/>
                <w:color w:val="365F91"/>
                <w:sz w:val="20"/>
                <w:szCs w:val="20"/>
              </w:rPr>
            </w:pPr>
            <w:r>
              <w:rPr>
                <w:i/>
                <w:iCs/>
                <w:color w:val="365F91"/>
                <w:sz w:val="20"/>
                <w:szCs w:val="20"/>
              </w:rPr>
              <w:t>Richmond, Virginia 23219</w:t>
            </w:r>
          </w:p>
        </w:tc>
        <w:tc>
          <w:tcPr>
            <w:tcW w:w="2775" w:type="dxa"/>
          </w:tcPr>
          <w:p w:rsidR="00000000" w:rsidRDefault="00B8558B">
            <w:pPr>
              <w:pStyle w:val="TableParagraph"/>
              <w:kinsoku w:val="0"/>
              <w:overflowPunct w:val="0"/>
              <w:ind w:right="198"/>
              <w:jc w:val="right"/>
              <w:rPr>
                <w:color w:val="365F91"/>
                <w:sz w:val="20"/>
                <w:szCs w:val="20"/>
              </w:rPr>
            </w:pPr>
            <w:r>
              <w:rPr>
                <w:color w:val="365F91"/>
                <w:sz w:val="20"/>
                <w:szCs w:val="20"/>
              </w:rPr>
              <w:t>804-786-1118 (Fax)</w:t>
            </w:r>
          </w:p>
        </w:tc>
      </w:tr>
      <w:tr w:rsidR="00000000" w:rsidTr="00C5067C">
        <w:trPr>
          <w:trHeight w:val="180"/>
        </w:trPr>
        <w:tc>
          <w:tcPr>
            <w:tcW w:w="2826" w:type="dxa"/>
          </w:tcPr>
          <w:p w:rsidR="00000000" w:rsidRDefault="00B8558B">
            <w:pPr>
              <w:pStyle w:val="TableParagraph"/>
              <w:kinsoku w:val="0"/>
              <w:overflowPunct w:val="0"/>
              <w:spacing w:line="179" w:lineRule="exact"/>
              <w:ind w:left="200"/>
              <w:rPr>
                <w:i/>
                <w:iCs/>
                <w:color w:val="365F91"/>
                <w:sz w:val="20"/>
                <w:szCs w:val="20"/>
              </w:rPr>
            </w:pPr>
            <w:r>
              <w:rPr>
                <w:i/>
                <w:iCs/>
                <w:color w:val="365F91"/>
                <w:sz w:val="20"/>
                <w:szCs w:val="20"/>
              </w:rPr>
              <w:t>Vice Chair</w:t>
            </w:r>
          </w:p>
        </w:tc>
        <w:tc>
          <w:tcPr>
            <w:tcW w:w="5022" w:type="dxa"/>
          </w:tcPr>
          <w:p w:rsidR="00000000" w:rsidRDefault="00B8558B">
            <w:pPr>
              <w:pStyle w:val="TableParagraph"/>
              <w:kinsoku w:val="0"/>
              <w:overflowPunct w:val="0"/>
              <w:spacing w:line="240" w:lineRule="auto"/>
              <w:rPr>
                <w:rFonts w:ascii="Times New Roman" w:hAnsi="Times New Roman" w:cs="Times New Roman"/>
                <w:sz w:val="12"/>
                <w:szCs w:val="12"/>
              </w:rPr>
            </w:pPr>
          </w:p>
        </w:tc>
        <w:tc>
          <w:tcPr>
            <w:tcW w:w="2775" w:type="dxa"/>
          </w:tcPr>
          <w:p w:rsidR="00000000" w:rsidRDefault="00B8558B">
            <w:pPr>
              <w:pStyle w:val="TableParagraph"/>
              <w:kinsoku w:val="0"/>
              <w:overflowPunct w:val="0"/>
              <w:spacing w:line="179" w:lineRule="exact"/>
              <w:ind w:right="199"/>
              <w:jc w:val="right"/>
              <w:rPr>
                <w:color w:val="365F91"/>
                <w:sz w:val="20"/>
                <w:szCs w:val="20"/>
              </w:rPr>
            </w:pPr>
            <w:hyperlink r:id="rId9" w:history="1">
              <w:r>
                <w:rPr>
                  <w:color w:val="365F91"/>
                  <w:sz w:val="20"/>
                  <w:szCs w:val="20"/>
                </w:rPr>
                <w:t>info@vbpd.virginia.gov</w:t>
              </w:r>
            </w:hyperlink>
          </w:p>
        </w:tc>
      </w:tr>
      <w:tr w:rsidR="00000000" w:rsidTr="00C5067C">
        <w:trPr>
          <w:trHeight w:val="200"/>
        </w:trPr>
        <w:tc>
          <w:tcPr>
            <w:tcW w:w="2826" w:type="dxa"/>
          </w:tcPr>
          <w:p w:rsidR="00000000" w:rsidRDefault="00B8558B">
            <w:pPr>
              <w:pStyle w:val="TableParagraph"/>
              <w:kinsoku w:val="0"/>
              <w:overflowPunct w:val="0"/>
              <w:ind w:left="200"/>
              <w:rPr>
                <w:b/>
                <w:bCs/>
                <w:color w:val="365F91"/>
                <w:sz w:val="20"/>
                <w:szCs w:val="20"/>
              </w:rPr>
            </w:pPr>
            <w:r>
              <w:rPr>
                <w:b/>
                <w:bCs/>
                <w:color w:val="365F91"/>
                <w:sz w:val="20"/>
                <w:szCs w:val="20"/>
              </w:rPr>
              <w:t>Margaret Disney</w:t>
            </w:r>
          </w:p>
        </w:tc>
        <w:tc>
          <w:tcPr>
            <w:tcW w:w="5022" w:type="dxa"/>
          </w:tcPr>
          <w:p w:rsidR="00000000" w:rsidRDefault="00B8558B">
            <w:pPr>
              <w:pStyle w:val="TableParagraph"/>
              <w:kinsoku w:val="0"/>
              <w:overflowPunct w:val="0"/>
              <w:spacing w:line="240" w:lineRule="auto"/>
              <w:rPr>
                <w:rFonts w:ascii="Times New Roman" w:hAnsi="Times New Roman" w:cs="Times New Roman"/>
                <w:sz w:val="12"/>
                <w:szCs w:val="12"/>
              </w:rPr>
            </w:pPr>
          </w:p>
        </w:tc>
        <w:tc>
          <w:tcPr>
            <w:tcW w:w="2775" w:type="dxa"/>
          </w:tcPr>
          <w:p w:rsidR="00000000" w:rsidRDefault="00C5067C">
            <w:pPr>
              <w:pStyle w:val="TableParagraph"/>
              <w:kinsoku w:val="0"/>
              <w:overflowPunct w:val="0"/>
              <w:ind w:right="199"/>
              <w:jc w:val="right"/>
              <w:rPr>
                <w:color w:val="365F91"/>
                <w:sz w:val="20"/>
                <w:szCs w:val="20"/>
              </w:rPr>
            </w:pPr>
            <w:hyperlink r:id="rId10" w:history="1">
              <w:r w:rsidRPr="00BD29A2">
                <w:rPr>
                  <w:rStyle w:val="Hyperlink"/>
                  <w:sz w:val="20"/>
                  <w:szCs w:val="20"/>
                </w:rPr>
                <w:t>Website: www.vaboard.org</w:t>
              </w:r>
            </w:hyperlink>
          </w:p>
        </w:tc>
      </w:tr>
      <w:tr w:rsidR="00000000" w:rsidTr="00C5067C">
        <w:trPr>
          <w:trHeight w:val="200"/>
        </w:trPr>
        <w:tc>
          <w:tcPr>
            <w:tcW w:w="2826" w:type="dxa"/>
          </w:tcPr>
          <w:p w:rsidR="00000000" w:rsidRDefault="00B8558B">
            <w:pPr>
              <w:pStyle w:val="TableParagraph"/>
              <w:kinsoku w:val="0"/>
              <w:overflowPunct w:val="0"/>
              <w:ind w:left="200"/>
              <w:rPr>
                <w:i/>
                <w:iCs/>
                <w:color w:val="365F91"/>
                <w:sz w:val="20"/>
                <w:szCs w:val="20"/>
              </w:rPr>
            </w:pPr>
            <w:r>
              <w:rPr>
                <w:i/>
                <w:iCs/>
                <w:color w:val="365F91"/>
                <w:sz w:val="20"/>
                <w:szCs w:val="20"/>
              </w:rPr>
              <w:t>Secretary</w:t>
            </w:r>
          </w:p>
        </w:tc>
        <w:tc>
          <w:tcPr>
            <w:tcW w:w="5022" w:type="dxa"/>
          </w:tcPr>
          <w:p w:rsidR="00000000" w:rsidRDefault="00B8558B">
            <w:pPr>
              <w:pStyle w:val="TableParagraph"/>
              <w:kinsoku w:val="0"/>
              <w:overflowPunct w:val="0"/>
              <w:spacing w:line="240" w:lineRule="auto"/>
              <w:rPr>
                <w:rFonts w:ascii="Times New Roman" w:hAnsi="Times New Roman" w:cs="Times New Roman"/>
                <w:sz w:val="12"/>
                <w:szCs w:val="12"/>
              </w:rPr>
            </w:pPr>
          </w:p>
        </w:tc>
        <w:tc>
          <w:tcPr>
            <w:tcW w:w="2775" w:type="dxa"/>
          </w:tcPr>
          <w:p w:rsidR="00000000" w:rsidRDefault="00B8558B">
            <w:pPr>
              <w:pStyle w:val="TableParagraph"/>
              <w:kinsoku w:val="0"/>
              <w:overflowPunct w:val="0"/>
              <w:spacing w:line="240" w:lineRule="auto"/>
              <w:rPr>
                <w:rFonts w:ascii="Times New Roman" w:hAnsi="Times New Roman" w:cs="Times New Roman"/>
                <w:sz w:val="12"/>
                <w:szCs w:val="12"/>
              </w:rPr>
            </w:pPr>
          </w:p>
        </w:tc>
      </w:tr>
      <w:tr w:rsidR="00000000" w:rsidTr="00C5067C">
        <w:trPr>
          <w:trHeight w:val="180"/>
        </w:trPr>
        <w:tc>
          <w:tcPr>
            <w:tcW w:w="2826" w:type="dxa"/>
          </w:tcPr>
          <w:p w:rsidR="00000000" w:rsidRDefault="00B8558B">
            <w:pPr>
              <w:pStyle w:val="TableParagraph"/>
              <w:kinsoku w:val="0"/>
              <w:overflowPunct w:val="0"/>
              <w:spacing w:line="179" w:lineRule="exact"/>
              <w:ind w:left="200"/>
              <w:rPr>
                <w:b/>
                <w:bCs/>
                <w:color w:val="365F91"/>
                <w:sz w:val="20"/>
                <w:szCs w:val="20"/>
              </w:rPr>
            </w:pPr>
            <w:r>
              <w:rPr>
                <w:b/>
                <w:bCs/>
                <w:color w:val="365F91"/>
                <w:sz w:val="20"/>
                <w:szCs w:val="20"/>
              </w:rPr>
              <w:t>Heidi L. Lawyer</w:t>
            </w:r>
          </w:p>
        </w:tc>
        <w:tc>
          <w:tcPr>
            <w:tcW w:w="5022" w:type="dxa"/>
          </w:tcPr>
          <w:p w:rsidR="00000000" w:rsidRDefault="00B8558B">
            <w:pPr>
              <w:pStyle w:val="TableParagraph"/>
              <w:kinsoku w:val="0"/>
              <w:overflowPunct w:val="0"/>
              <w:spacing w:line="240" w:lineRule="auto"/>
              <w:rPr>
                <w:rFonts w:ascii="Times New Roman" w:hAnsi="Times New Roman" w:cs="Times New Roman"/>
                <w:sz w:val="12"/>
                <w:szCs w:val="12"/>
              </w:rPr>
            </w:pPr>
          </w:p>
        </w:tc>
        <w:tc>
          <w:tcPr>
            <w:tcW w:w="2775" w:type="dxa"/>
          </w:tcPr>
          <w:p w:rsidR="00000000" w:rsidRDefault="00B8558B">
            <w:pPr>
              <w:pStyle w:val="TableParagraph"/>
              <w:kinsoku w:val="0"/>
              <w:overflowPunct w:val="0"/>
              <w:spacing w:line="240" w:lineRule="auto"/>
              <w:rPr>
                <w:rFonts w:ascii="Times New Roman" w:hAnsi="Times New Roman" w:cs="Times New Roman"/>
                <w:sz w:val="12"/>
                <w:szCs w:val="12"/>
              </w:rPr>
            </w:pPr>
          </w:p>
        </w:tc>
      </w:tr>
      <w:tr w:rsidR="00000000" w:rsidTr="00C5067C">
        <w:trPr>
          <w:trHeight w:val="180"/>
        </w:trPr>
        <w:tc>
          <w:tcPr>
            <w:tcW w:w="2826" w:type="dxa"/>
          </w:tcPr>
          <w:p w:rsidR="00000000" w:rsidRDefault="00B8558B">
            <w:pPr>
              <w:pStyle w:val="TableParagraph"/>
              <w:kinsoku w:val="0"/>
              <w:overflowPunct w:val="0"/>
              <w:spacing w:line="179" w:lineRule="exact"/>
              <w:ind w:left="200"/>
              <w:rPr>
                <w:i/>
                <w:iCs/>
                <w:color w:val="365F91"/>
                <w:sz w:val="20"/>
                <w:szCs w:val="20"/>
              </w:rPr>
            </w:pPr>
            <w:r>
              <w:rPr>
                <w:i/>
                <w:iCs/>
                <w:color w:val="365F91"/>
                <w:sz w:val="20"/>
                <w:szCs w:val="20"/>
              </w:rPr>
              <w:t>Executive Director</w:t>
            </w:r>
          </w:p>
        </w:tc>
        <w:tc>
          <w:tcPr>
            <w:tcW w:w="5022" w:type="dxa"/>
          </w:tcPr>
          <w:p w:rsidR="00000000" w:rsidRDefault="00B8558B">
            <w:pPr>
              <w:pStyle w:val="TableParagraph"/>
              <w:kinsoku w:val="0"/>
              <w:overflowPunct w:val="0"/>
              <w:spacing w:line="240" w:lineRule="auto"/>
              <w:rPr>
                <w:rFonts w:ascii="Times New Roman" w:hAnsi="Times New Roman" w:cs="Times New Roman"/>
                <w:sz w:val="12"/>
                <w:szCs w:val="12"/>
              </w:rPr>
            </w:pPr>
          </w:p>
        </w:tc>
        <w:tc>
          <w:tcPr>
            <w:tcW w:w="2775" w:type="dxa"/>
          </w:tcPr>
          <w:p w:rsidR="00000000" w:rsidRDefault="00B8558B">
            <w:pPr>
              <w:pStyle w:val="TableParagraph"/>
              <w:kinsoku w:val="0"/>
              <w:overflowPunct w:val="0"/>
              <w:spacing w:line="240" w:lineRule="auto"/>
              <w:rPr>
                <w:rFonts w:ascii="Times New Roman" w:hAnsi="Times New Roman" w:cs="Times New Roman"/>
                <w:sz w:val="12"/>
                <w:szCs w:val="12"/>
              </w:rPr>
            </w:pPr>
          </w:p>
        </w:tc>
      </w:tr>
      <w:bookmarkEnd w:id="0"/>
    </w:tbl>
    <w:p w:rsidR="00000000" w:rsidRDefault="00B8558B">
      <w:pPr>
        <w:pStyle w:val="BodyText"/>
        <w:kinsoku w:val="0"/>
        <w:overflowPunct w:val="0"/>
        <w:spacing w:before="10"/>
        <w:rPr>
          <w:rFonts w:ascii="Times New Roman" w:hAnsi="Times New Roman" w:cs="Times New Roman"/>
          <w:i/>
          <w:iCs/>
          <w:sz w:val="25"/>
          <w:szCs w:val="25"/>
        </w:rPr>
      </w:pPr>
    </w:p>
    <w:p w:rsidR="00000000" w:rsidRDefault="00B8558B">
      <w:pPr>
        <w:pStyle w:val="BodyText"/>
        <w:kinsoku w:val="0"/>
        <w:overflowPunct w:val="0"/>
        <w:ind w:left="3238" w:right="3413"/>
        <w:jc w:val="center"/>
      </w:pPr>
      <w:r>
        <w:t>May 7, 2014</w:t>
      </w:r>
    </w:p>
    <w:p w:rsidR="00000000" w:rsidRDefault="00B8558B">
      <w:pPr>
        <w:pStyle w:val="BodyText"/>
        <w:kinsoku w:val="0"/>
        <w:overflowPunct w:val="0"/>
        <w:spacing w:before="2"/>
        <w:rPr>
          <w:sz w:val="25"/>
          <w:szCs w:val="25"/>
        </w:rPr>
      </w:pPr>
    </w:p>
    <w:p w:rsidR="00000000" w:rsidRDefault="00B8558B">
      <w:pPr>
        <w:pStyle w:val="BodyText"/>
        <w:tabs>
          <w:tab w:val="left" w:pos="1020"/>
        </w:tabs>
        <w:kinsoku w:val="0"/>
        <w:overflowPunct w:val="0"/>
        <w:ind w:left="300"/>
      </w:pPr>
      <w:r>
        <w:t>TO:</w:t>
      </w:r>
      <w:r>
        <w:tab/>
        <w:t>Ruth Anne Walker, Director of Legislative</w:t>
      </w:r>
      <w:r>
        <w:rPr>
          <w:spacing w:val="-11"/>
        </w:rPr>
        <w:t xml:space="preserve"> </w:t>
      </w:r>
      <w:r>
        <w:t>Affairs</w:t>
      </w:r>
    </w:p>
    <w:p w:rsidR="00000000" w:rsidRDefault="00B8558B">
      <w:pPr>
        <w:pStyle w:val="BodyText"/>
        <w:kinsoku w:val="0"/>
        <w:overflowPunct w:val="0"/>
        <w:spacing w:before="6"/>
        <w:ind w:left="300" w:right="3775" w:firstLine="720"/>
        <w:rPr>
          <w:spacing w:val="-25"/>
        </w:rPr>
      </w:pPr>
      <w:r>
        <w:t xml:space="preserve">Department of Behavioral Health and Developmental Services FROM: Heidi Lawyer  </w:t>
      </w:r>
      <w:r w:rsidR="00F22BED">
        <w:rPr>
          <w:noProof/>
          <w:spacing w:val="-25"/>
        </w:rPr>
        <w:drawing>
          <wp:inline distT="0" distB="0" distL="0" distR="0">
            <wp:extent cx="983615" cy="405130"/>
            <wp:effectExtent l="0" t="0" r="6985" b="0"/>
            <wp:docPr id="3"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3615" cy="405130"/>
                    </a:xfrm>
                    <a:prstGeom prst="rect">
                      <a:avLst/>
                    </a:prstGeom>
                    <a:noFill/>
                    <a:ln>
                      <a:noFill/>
                    </a:ln>
                  </pic:spPr>
                </pic:pic>
              </a:graphicData>
            </a:graphic>
          </wp:inline>
        </w:drawing>
      </w:r>
    </w:p>
    <w:p w:rsidR="00000000" w:rsidRDefault="00B8558B">
      <w:pPr>
        <w:pStyle w:val="BodyText"/>
        <w:tabs>
          <w:tab w:val="left" w:pos="1020"/>
        </w:tabs>
        <w:kinsoku w:val="0"/>
        <w:overflowPunct w:val="0"/>
        <w:spacing w:before="53" w:line="600" w:lineRule="exact"/>
        <w:ind w:left="732" w:right="933" w:hanging="433"/>
      </w:pPr>
      <w:r>
        <w:t>RE:</w:t>
      </w:r>
      <w:r>
        <w:tab/>
      </w:r>
      <w:r>
        <w:tab/>
        <w:t>DBHDS POLICY 1043(SYS) 08-1: Disaster and Terrorism Preparedness, dated June</w:t>
      </w:r>
      <w:r>
        <w:rPr>
          <w:spacing w:val="-25"/>
        </w:rPr>
        <w:t xml:space="preserve"> </w:t>
      </w:r>
      <w:r>
        <w:t>6,</w:t>
      </w:r>
      <w:r>
        <w:rPr>
          <w:spacing w:val="-3"/>
        </w:rPr>
        <w:t xml:space="preserve"> </w:t>
      </w:r>
      <w:r>
        <w:t>2008 The Virginia Board for People with Disabilities (the Board) appreciates the opportunity to</w:t>
      </w:r>
      <w:r>
        <w:rPr>
          <w:spacing w:val="-34"/>
        </w:rPr>
        <w:t xml:space="preserve"> </w:t>
      </w:r>
      <w:r>
        <w:t>offer</w:t>
      </w:r>
    </w:p>
    <w:p w:rsidR="00000000" w:rsidRDefault="00B8558B">
      <w:pPr>
        <w:pStyle w:val="BodyText"/>
        <w:kinsoku w:val="0"/>
        <w:overflowPunct w:val="0"/>
        <w:spacing w:line="244" w:lineRule="exact"/>
        <w:ind w:left="300"/>
      </w:pPr>
      <w:proofErr w:type="gramStart"/>
      <w:r>
        <w:t>comment</w:t>
      </w:r>
      <w:proofErr w:type="gramEnd"/>
      <w:r>
        <w:t xml:space="preserve"> on DBHDS Policy 1043(SYS)</w:t>
      </w:r>
      <w:r>
        <w:t xml:space="preserve"> 08-1 which is currently under review. The Board has been</w:t>
      </w:r>
    </w:p>
    <w:p w:rsidR="00000000" w:rsidRDefault="00B8558B">
      <w:pPr>
        <w:pStyle w:val="BodyText"/>
        <w:kinsoku w:val="0"/>
        <w:overflowPunct w:val="0"/>
        <w:spacing w:before="7" w:line="244" w:lineRule="auto"/>
        <w:ind w:left="300" w:right="662"/>
      </w:pPr>
      <w:proofErr w:type="gramStart"/>
      <w:r>
        <w:t>engaged</w:t>
      </w:r>
      <w:proofErr w:type="gramEnd"/>
      <w:r>
        <w:t xml:space="preserve"> in the area of emergency preparedness for several years, including providing recommendations on emergency services in the 2011 edition of its </w:t>
      </w:r>
      <w:r>
        <w:rPr>
          <w:i/>
          <w:iCs/>
        </w:rPr>
        <w:t xml:space="preserve">Assessment of the Disability </w:t>
      </w:r>
      <w:r>
        <w:rPr>
          <w:i/>
          <w:iCs/>
        </w:rPr>
        <w:t xml:space="preserve">Services System in Virginia </w:t>
      </w:r>
      <w:r>
        <w:t>and participating in the Health and Human Resources (HHR) Secretariat Emergency Preparedness and Response and Recovery Workgroup. This workgroup includes members of agencies that fall under the Secretariat as well as representat</w:t>
      </w:r>
      <w:r>
        <w:t>ives of the Virginia Department of Emergency Management. The Board would like to offer the following recommendations for consideration on the aforementioned policy.</w:t>
      </w:r>
    </w:p>
    <w:p w:rsidR="00000000" w:rsidRDefault="00B8558B">
      <w:pPr>
        <w:pStyle w:val="BodyText"/>
        <w:kinsoku w:val="0"/>
        <w:overflowPunct w:val="0"/>
        <w:spacing w:before="7"/>
      </w:pPr>
    </w:p>
    <w:p w:rsidR="00000000" w:rsidRDefault="00B8558B">
      <w:pPr>
        <w:pStyle w:val="Heading1"/>
        <w:kinsoku w:val="0"/>
        <w:overflowPunct w:val="0"/>
        <w:ind w:left="300"/>
      </w:pPr>
      <w:r>
        <w:t>References Section</w:t>
      </w:r>
    </w:p>
    <w:p w:rsidR="00000000" w:rsidRDefault="00B8558B">
      <w:pPr>
        <w:pStyle w:val="BodyText"/>
        <w:kinsoku w:val="0"/>
        <w:overflowPunct w:val="0"/>
        <w:spacing w:before="1"/>
        <w:rPr>
          <w:b/>
          <w:bCs/>
          <w:sz w:val="25"/>
          <w:szCs w:val="25"/>
        </w:rPr>
      </w:pPr>
    </w:p>
    <w:p w:rsidR="00000000" w:rsidRDefault="00B8558B">
      <w:pPr>
        <w:pStyle w:val="BodyText"/>
        <w:kinsoku w:val="0"/>
        <w:overflowPunct w:val="0"/>
        <w:ind w:left="732"/>
      </w:pPr>
      <w:r>
        <w:t>The Board recommends that the Policy:</w:t>
      </w:r>
    </w:p>
    <w:p w:rsidR="00000000" w:rsidRDefault="00B8558B">
      <w:pPr>
        <w:pStyle w:val="BodyText"/>
        <w:kinsoku w:val="0"/>
        <w:overflowPunct w:val="0"/>
        <w:spacing w:before="6"/>
        <w:rPr>
          <w:sz w:val="19"/>
          <w:szCs w:val="19"/>
        </w:rPr>
      </w:pPr>
    </w:p>
    <w:p w:rsidR="00000000" w:rsidRDefault="00B8558B">
      <w:pPr>
        <w:pStyle w:val="ListParagraph"/>
        <w:numPr>
          <w:ilvl w:val="0"/>
          <w:numId w:val="4"/>
        </w:numPr>
        <w:tabs>
          <w:tab w:val="left" w:pos="1381"/>
        </w:tabs>
        <w:kinsoku w:val="0"/>
        <w:overflowPunct w:val="0"/>
        <w:spacing w:before="1" w:line="244" w:lineRule="auto"/>
        <w:ind w:right="851"/>
      </w:pPr>
      <w:r>
        <w:t>Include current responsibilitie</w:t>
      </w:r>
      <w:r>
        <w:t>s of DBHDS, Community Services Boards (CSBs) and state operated facilities. This Information can be found in the 2012 Commonwealth of Virginia Emergency Operations Plan</w:t>
      </w:r>
      <w:r>
        <w:rPr>
          <w:spacing w:val="-16"/>
        </w:rPr>
        <w:t xml:space="preserve"> </w:t>
      </w:r>
      <w:r>
        <w:t>(COVEOP).</w:t>
      </w:r>
    </w:p>
    <w:p w:rsidR="00000000" w:rsidRDefault="00B8558B">
      <w:pPr>
        <w:pStyle w:val="ListParagraph"/>
        <w:numPr>
          <w:ilvl w:val="0"/>
          <w:numId w:val="4"/>
        </w:numPr>
        <w:tabs>
          <w:tab w:val="left" w:pos="1381"/>
        </w:tabs>
        <w:kinsoku w:val="0"/>
        <w:overflowPunct w:val="0"/>
        <w:spacing w:line="247" w:lineRule="auto"/>
        <w:ind w:right="556"/>
      </w:pPr>
      <w:r>
        <w:t xml:space="preserve">Reference changes made to </w:t>
      </w:r>
      <w:r>
        <w:rPr>
          <w:i/>
          <w:iCs/>
        </w:rPr>
        <w:t>Code of Virgin</w:t>
      </w:r>
      <w:hyperlink r:id="rId12" w:history="1">
        <w:proofErr w:type="gramStart"/>
        <w:r>
          <w:rPr>
            <w:i/>
            <w:iCs/>
          </w:rPr>
          <w:t>ia</w:t>
        </w:r>
        <w:proofErr w:type="gramEnd"/>
        <w:r>
          <w:rPr>
            <w:i/>
            <w:iCs/>
          </w:rPr>
          <w:t xml:space="preserve"> §2.2-200 </w:t>
        </w:r>
      </w:hyperlink>
      <w:r>
        <w:rPr>
          <w:i/>
          <w:iCs/>
        </w:rPr>
        <w:t>et seq.</w:t>
      </w:r>
      <w:r>
        <w:t>, resulting from SB 381. This legislation, signed by the Governor on April 1, 2014, strengthens homeland security by transferring operations to the Secretary of Public Safety and Homeland Securi</w:t>
      </w:r>
      <w:r>
        <w:t>ty. Combining the Secretariat of Public Safety with Homeland Security ensures emergency disaster</w:t>
      </w:r>
      <w:r>
        <w:rPr>
          <w:spacing w:val="-28"/>
        </w:rPr>
        <w:t xml:space="preserve"> </w:t>
      </w:r>
      <w:r>
        <w:t>and</w:t>
      </w:r>
    </w:p>
    <w:p w:rsidR="00000000" w:rsidRDefault="00B8558B">
      <w:pPr>
        <w:pStyle w:val="ListParagraph"/>
        <w:numPr>
          <w:ilvl w:val="0"/>
          <w:numId w:val="4"/>
        </w:numPr>
        <w:tabs>
          <w:tab w:val="left" w:pos="1381"/>
        </w:tabs>
        <w:kinsoku w:val="0"/>
        <w:overflowPunct w:val="0"/>
        <w:spacing w:line="247" w:lineRule="auto"/>
        <w:ind w:right="556"/>
        <w:sectPr w:rsidR="00000000">
          <w:type w:val="continuous"/>
          <w:pgSz w:w="12240" w:h="15840"/>
          <w:pgMar w:top="600" w:right="600" w:bottom="280" w:left="780" w:header="720" w:footer="720" w:gutter="0"/>
          <w:cols w:space="720"/>
          <w:noEndnote/>
        </w:sectPr>
      </w:pPr>
    </w:p>
    <w:p w:rsidR="00000000" w:rsidRDefault="00B8558B">
      <w:pPr>
        <w:pStyle w:val="BodyText"/>
        <w:kinsoku w:val="0"/>
        <w:overflowPunct w:val="0"/>
        <w:spacing w:before="5"/>
        <w:rPr>
          <w:sz w:val="16"/>
          <w:szCs w:val="16"/>
        </w:rPr>
      </w:pPr>
    </w:p>
    <w:p w:rsidR="00000000" w:rsidRDefault="00B8558B">
      <w:pPr>
        <w:pStyle w:val="BodyText"/>
        <w:kinsoku w:val="0"/>
        <w:overflowPunct w:val="0"/>
        <w:spacing w:before="51" w:line="244" w:lineRule="auto"/>
        <w:ind w:left="1180" w:right="169"/>
      </w:pPr>
      <w:proofErr w:type="gramStart"/>
      <w:r>
        <w:t>response</w:t>
      </w:r>
      <w:proofErr w:type="gramEnd"/>
      <w:r>
        <w:t xml:space="preserve"> functions are aligned with the Virginia Department of Emergency Management (VDEM).</w:t>
      </w:r>
    </w:p>
    <w:p w:rsidR="00000000" w:rsidRDefault="00B8558B">
      <w:pPr>
        <w:pStyle w:val="ListParagraph"/>
        <w:numPr>
          <w:ilvl w:val="0"/>
          <w:numId w:val="3"/>
        </w:numPr>
        <w:tabs>
          <w:tab w:val="left" w:pos="1181"/>
        </w:tabs>
        <w:kinsoku w:val="0"/>
        <w:overflowPunct w:val="0"/>
        <w:spacing w:line="244" w:lineRule="auto"/>
        <w:ind w:right="104"/>
      </w:pPr>
      <w:r>
        <w:t>Reference Executive Order 12, effective April 9, 2014, to continue the Governor’s Task Force on Improving M</w:t>
      </w:r>
      <w:r>
        <w:t>ental Health Services and Crisis Response. The recommendations in this EO by Governor McAuliffe are important to stabilizing and supporting individuals with mental health challenges during an</w:t>
      </w:r>
      <w:r>
        <w:rPr>
          <w:spacing w:val="-12"/>
        </w:rPr>
        <w:t xml:space="preserve"> </w:t>
      </w:r>
      <w:r>
        <w:t>emergency.</w:t>
      </w:r>
    </w:p>
    <w:p w:rsidR="00000000" w:rsidRDefault="00B8558B">
      <w:pPr>
        <w:pStyle w:val="ListParagraph"/>
        <w:numPr>
          <w:ilvl w:val="0"/>
          <w:numId w:val="3"/>
        </w:numPr>
        <w:tabs>
          <w:tab w:val="left" w:pos="1181"/>
        </w:tabs>
        <w:kinsoku w:val="0"/>
        <w:overflowPunct w:val="0"/>
        <w:spacing w:line="247" w:lineRule="auto"/>
        <w:ind w:right="101"/>
        <w:jc w:val="both"/>
      </w:pPr>
      <w:r>
        <w:t>Reference the Health and Human Resources (HHR) Secret</w:t>
      </w:r>
      <w:r>
        <w:t>ariat Emergency Preparedness and Response and Recovery Workgroup. The Secretary assembled this team in 2009 to integrate planning within the HHR Secretariat and</w:t>
      </w:r>
      <w:r>
        <w:rPr>
          <w:spacing w:val="-17"/>
        </w:rPr>
        <w:t xml:space="preserve"> </w:t>
      </w:r>
      <w:r>
        <w:t>VDEM.</w:t>
      </w:r>
    </w:p>
    <w:p w:rsidR="00000000" w:rsidRDefault="00B8558B">
      <w:pPr>
        <w:pStyle w:val="BodyText"/>
        <w:kinsoku w:val="0"/>
        <w:overflowPunct w:val="0"/>
        <w:spacing w:before="5"/>
        <w:rPr>
          <w:sz w:val="19"/>
          <w:szCs w:val="19"/>
        </w:rPr>
      </w:pPr>
    </w:p>
    <w:p w:rsidR="00000000" w:rsidRDefault="00B8558B">
      <w:pPr>
        <w:pStyle w:val="BodyText"/>
        <w:kinsoku w:val="0"/>
        <w:overflowPunct w:val="0"/>
        <w:spacing w:line="247" w:lineRule="auto"/>
        <w:ind w:left="100" w:right="169" w:firstLine="487"/>
      </w:pPr>
      <w:r>
        <w:t>The Board also recommends that DBDHDS consider removing the word “Terrorism” from the Po</w:t>
      </w:r>
      <w:r>
        <w:t>licy title. Since 2008, the state of Virginia has transitioned to an “all hazards” approach. The efforts underway in emergency preparedness are related to multiple emergencies including:</w:t>
      </w:r>
    </w:p>
    <w:p w:rsidR="00000000" w:rsidRDefault="00B8558B">
      <w:pPr>
        <w:pStyle w:val="BodyText"/>
        <w:kinsoku w:val="0"/>
        <w:overflowPunct w:val="0"/>
        <w:spacing w:before="9"/>
        <w:rPr>
          <w:sz w:val="18"/>
          <w:szCs w:val="18"/>
        </w:rPr>
      </w:pPr>
    </w:p>
    <w:p w:rsidR="00000000" w:rsidRDefault="00B8558B">
      <w:pPr>
        <w:pStyle w:val="ListParagraph"/>
        <w:numPr>
          <w:ilvl w:val="0"/>
          <w:numId w:val="3"/>
        </w:numPr>
        <w:tabs>
          <w:tab w:val="left" w:pos="1181"/>
        </w:tabs>
        <w:kinsoku w:val="0"/>
        <w:overflowPunct w:val="0"/>
        <w:spacing w:before="1" w:line="305" w:lineRule="exact"/>
      </w:pPr>
      <w:r>
        <w:t>severe weather</w:t>
      </w:r>
      <w:r>
        <w:rPr>
          <w:spacing w:val="-12"/>
        </w:rPr>
        <w:t xml:space="preserve"> </w:t>
      </w:r>
      <w:r>
        <w:t>conditions,</w:t>
      </w:r>
    </w:p>
    <w:p w:rsidR="00000000" w:rsidRDefault="00B8558B">
      <w:pPr>
        <w:pStyle w:val="ListParagraph"/>
        <w:numPr>
          <w:ilvl w:val="0"/>
          <w:numId w:val="3"/>
        </w:numPr>
        <w:tabs>
          <w:tab w:val="left" w:pos="1181"/>
        </w:tabs>
        <w:kinsoku w:val="0"/>
        <w:overflowPunct w:val="0"/>
        <w:spacing w:line="305" w:lineRule="exact"/>
      </w:pPr>
      <w:r>
        <w:t>biological</w:t>
      </w:r>
      <w:r>
        <w:rPr>
          <w:spacing w:val="-3"/>
        </w:rPr>
        <w:t xml:space="preserve"> </w:t>
      </w:r>
      <w:r>
        <w:t>hazards,</w:t>
      </w:r>
    </w:p>
    <w:p w:rsidR="00000000" w:rsidRDefault="00B8558B">
      <w:pPr>
        <w:pStyle w:val="ListParagraph"/>
        <w:numPr>
          <w:ilvl w:val="0"/>
          <w:numId w:val="3"/>
        </w:numPr>
        <w:tabs>
          <w:tab w:val="left" w:pos="1181"/>
        </w:tabs>
        <w:kinsoku w:val="0"/>
        <w:overflowPunct w:val="0"/>
        <w:spacing w:before="1" w:line="305" w:lineRule="exact"/>
      </w:pPr>
      <w:r>
        <w:t>chemical</w:t>
      </w:r>
      <w:r>
        <w:rPr>
          <w:spacing w:val="-6"/>
        </w:rPr>
        <w:t xml:space="preserve"> </w:t>
      </w:r>
      <w:r>
        <w:t>hazards,</w:t>
      </w:r>
    </w:p>
    <w:p w:rsidR="00000000" w:rsidRDefault="00B8558B">
      <w:pPr>
        <w:pStyle w:val="ListParagraph"/>
        <w:numPr>
          <w:ilvl w:val="0"/>
          <w:numId w:val="3"/>
        </w:numPr>
        <w:tabs>
          <w:tab w:val="left" w:pos="1181"/>
        </w:tabs>
        <w:kinsoku w:val="0"/>
        <w:overflowPunct w:val="0"/>
        <w:spacing w:line="305" w:lineRule="exact"/>
      </w:pPr>
      <w:r>
        <w:t>domestic disturbances,</w:t>
      </w:r>
      <w:r>
        <w:rPr>
          <w:spacing w:val="-7"/>
        </w:rPr>
        <w:t xml:space="preserve"> </w:t>
      </w:r>
      <w:r>
        <w:t>and</w:t>
      </w:r>
    </w:p>
    <w:p w:rsidR="00000000" w:rsidRDefault="00B8558B">
      <w:pPr>
        <w:pStyle w:val="ListParagraph"/>
        <w:numPr>
          <w:ilvl w:val="0"/>
          <w:numId w:val="3"/>
        </w:numPr>
        <w:tabs>
          <w:tab w:val="left" w:pos="1181"/>
        </w:tabs>
        <w:kinsoku w:val="0"/>
        <w:overflowPunct w:val="0"/>
        <w:spacing w:line="305" w:lineRule="exact"/>
      </w:pPr>
      <w:proofErr w:type="gramStart"/>
      <w:r>
        <w:t>natural</w:t>
      </w:r>
      <w:proofErr w:type="gramEnd"/>
      <w:r>
        <w:t xml:space="preserve"> and other</w:t>
      </w:r>
      <w:r>
        <w:rPr>
          <w:spacing w:val="-10"/>
        </w:rPr>
        <w:t xml:space="preserve"> </w:t>
      </w:r>
      <w:r>
        <w:t>disasters.</w:t>
      </w:r>
    </w:p>
    <w:p w:rsidR="00000000" w:rsidRDefault="00B8558B">
      <w:pPr>
        <w:pStyle w:val="Heading1"/>
        <w:kinsoku w:val="0"/>
        <w:overflowPunct w:val="0"/>
        <w:spacing w:before="249"/>
      </w:pPr>
      <w:r>
        <w:t>Background Section</w:t>
      </w:r>
    </w:p>
    <w:p w:rsidR="00000000" w:rsidRDefault="00B8558B">
      <w:pPr>
        <w:pStyle w:val="BodyText"/>
        <w:kinsoku w:val="0"/>
        <w:overflowPunct w:val="0"/>
        <w:spacing w:before="1"/>
        <w:rPr>
          <w:b/>
          <w:bCs/>
          <w:sz w:val="25"/>
          <w:szCs w:val="25"/>
        </w:rPr>
      </w:pPr>
    </w:p>
    <w:p w:rsidR="00000000" w:rsidRDefault="00B8558B">
      <w:pPr>
        <w:pStyle w:val="BodyText"/>
        <w:kinsoku w:val="0"/>
        <w:overflowPunct w:val="0"/>
        <w:ind w:left="532"/>
      </w:pPr>
      <w:r>
        <w:t>The Board recommends that the Policy:</w:t>
      </w:r>
    </w:p>
    <w:p w:rsidR="00000000" w:rsidRDefault="00B8558B">
      <w:pPr>
        <w:pStyle w:val="BodyText"/>
        <w:kinsoku w:val="0"/>
        <w:overflowPunct w:val="0"/>
        <w:spacing w:before="6"/>
        <w:rPr>
          <w:sz w:val="19"/>
          <w:szCs w:val="19"/>
        </w:rPr>
      </w:pPr>
    </w:p>
    <w:p w:rsidR="00000000" w:rsidRDefault="00B8558B">
      <w:pPr>
        <w:pStyle w:val="ListParagraph"/>
        <w:numPr>
          <w:ilvl w:val="0"/>
          <w:numId w:val="3"/>
        </w:numPr>
        <w:tabs>
          <w:tab w:val="left" w:pos="1181"/>
        </w:tabs>
        <w:kinsoku w:val="0"/>
        <w:overflowPunct w:val="0"/>
        <w:spacing w:before="1" w:line="244" w:lineRule="auto"/>
        <w:ind w:right="198"/>
      </w:pPr>
      <w:r>
        <w:t>Reference the needs of individuals with developmental disabilities as DHBDS is now the Commonwealth’</w:t>
      </w:r>
      <w:r>
        <w:t>s Developmental Disabilities (DD) agency. The needs of individuals with DD other than an intellectual disability should be</w:t>
      </w:r>
      <w:r>
        <w:rPr>
          <w:spacing w:val="-30"/>
        </w:rPr>
        <w:t xml:space="preserve"> </w:t>
      </w:r>
      <w:r>
        <w:t>acknowledged.</w:t>
      </w:r>
    </w:p>
    <w:p w:rsidR="00000000" w:rsidRDefault="00B8558B">
      <w:pPr>
        <w:pStyle w:val="ListParagraph"/>
        <w:numPr>
          <w:ilvl w:val="0"/>
          <w:numId w:val="3"/>
        </w:numPr>
        <w:tabs>
          <w:tab w:val="left" w:pos="1181"/>
        </w:tabs>
        <w:kinsoku w:val="0"/>
        <w:overflowPunct w:val="0"/>
        <w:spacing w:line="247" w:lineRule="auto"/>
        <w:ind w:right="284"/>
      </w:pPr>
      <w:r>
        <w:t>Include information regarding planning for emergencies as well as during each phase of</w:t>
      </w:r>
      <w:r>
        <w:rPr>
          <w:spacing w:val="-26"/>
        </w:rPr>
        <w:t xml:space="preserve"> </w:t>
      </w:r>
      <w:r>
        <w:t>an emergency.</w:t>
      </w:r>
    </w:p>
    <w:p w:rsidR="00000000" w:rsidRDefault="00B8558B">
      <w:pPr>
        <w:pStyle w:val="ListParagraph"/>
        <w:numPr>
          <w:ilvl w:val="0"/>
          <w:numId w:val="3"/>
        </w:numPr>
        <w:tabs>
          <w:tab w:val="left" w:pos="1181"/>
        </w:tabs>
        <w:kinsoku w:val="0"/>
        <w:overflowPunct w:val="0"/>
        <w:spacing w:line="244" w:lineRule="auto"/>
        <w:ind w:right="345"/>
      </w:pPr>
      <w:r>
        <w:t>Connect CSB planni</w:t>
      </w:r>
      <w:r>
        <w:t>ng to other agencies beyond the existing DBHDS infrastructure such as non-profit resources in the</w:t>
      </w:r>
      <w:r>
        <w:rPr>
          <w:spacing w:val="-16"/>
        </w:rPr>
        <w:t xml:space="preserve"> </w:t>
      </w:r>
      <w:r>
        <w:t>community.</w:t>
      </w:r>
    </w:p>
    <w:p w:rsidR="00000000" w:rsidRDefault="00B8558B">
      <w:pPr>
        <w:pStyle w:val="BodyText"/>
        <w:kinsoku w:val="0"/>
        <w:overflowPunct w:val="0"/>
        <w:rPr>
          <w:sz w:val="20"/>
          <w:szCs w:val="20"/>
        </w:rPr>
      </w:pPr>
    </w:p>
    <w:p w:rsidR="00000000" w:rsidRDefault="00B8558B">
      <w:pPr>
        <w:pStyle w:val="Heading1"/>
        <w:kinsoku w:val="0"/>
        <w:overflowPunct w:val="0"/>
      </w:pPr>
      <w:r>
        <w:t>Community Services Board Preparedness Section</w:t>
      </w:r>
    </w:p>
    <w:p w:rsidR="00000000" w:rsidRDefault="00B8558B">
      <w:pPr>
        <w:pStyle w:val="BodyText"/>
        <w:kinsoku w:val="0"/>
        <w:overflowPunct w:val="0"/>
        <w:spacing w:before="1"/>
        <w:rPr>
          <w:b/>
          <w:bCs/>
          <w:sz w:val="26"/>
          <w:szCs w:val="26"/>
        </w:rPr>
      </w:pPr>
    </w:p>
    <w:p w:rsidR="00000000" w:rsidRDefault="00B8558B">
      <w:pPr>
        <w:pStyle w:val="BodyText"/>
        <w:kinsoku w:val="0"/>
        <w:overflowPunct w:val="0"/>
        <w:spacing w:line="247" w:lineRule="auto"/>
        <w:ind w:left="100" w:right="169" w:firstLine="432"/>
      </w:pPr>
      <w:r>
        <w:rPr>
          <w:sz w:val="23"/>
          <w:szCs w:val="23"/>
        </w:rPr>
        <w:t xml:space="preserve">The Policy references outreach and collaborative relationships of CSBs with local public health departments and emergency management agencies. </w:t>
      </w:r>
      <w:r>
        <w:t>The Board recommends that the Policy be modified to:</w:t>
      </w:r>
    </w:p>
    <w:p w:rsidR="00000000" w:rsidRDefault="00B8558B">
      <w:pPr>
        <w:pStyle w:val="BodyText"/>
        <w:kinsoku w:val="0"/>
        <w:overflowPunct w:val="0"/>
        <w:spacing w:before="7"/>
        <w:rPr>
          <w:sz w:val="10"/>
          <w:szCs w:val="10"/>
        </w:rPr>
      </w:pPr>
    </w:p>
    <w:p w:rsidR="00000000" w:rsidRDefault="00B8558B">
      <w:pPr>
        <w:pStyle w:val="ListParagraph"/>
        <w:numPr>
          <w:ilvl w:val="1"/>
          <w:numId w:val="3"/>
        </w:numPr>
        <w:tabs>
          <w:tab w:val="left" w:pos="1541"/>
        </w:tabs>
        <w:kinsoku w:val="0"/>
        <w:overflowPunct w:val="0"/>
        <w:spacing w:before="100" w:line="305" w:lineRule="exact"/>
      </w:pPr>
      <w:r>
        <w:t>Include volunteer organizations in outreach</w:t>
      </w:r>
      <w:r>
        <w:rPr>
          <w:spacing w:val="-18"/>
        </w:rPr>
        <w:t xml:space="preserve"> </w:t>
      </w:r>
      <w:r>
        <w:t>efforts.</w:t>
      </w:r>
    </w:p>
    <w:p w:rsidR="00000000" w:rsidRDefault="00B8558B">
      <w:pPr>
        <w:pStyle w:val="ListParagraph"/>
        <w:numPr>
          <w:ilvl w:val="1"/>
          <w:numId w:val="3"/>
        </w:numPr>
        <w:tabs>
          <w:tab w:val="left" w:pos="1541"/>
        </w:tabs>
        <w:kinsoku w:val="0"/>
        <w:overflowPunct w:val="0"/>
        <w:spacing w:line="247" w:lineRule="auto"/>
        <w:ind w:right="295"/>
        <w:jc w:val="both"/>
      </w:pPr>
      <w:r>
        <w:t>Expand</w:t>
      </w:r>
      <w:r>
        <w:t xml:space="preserve"> the role of CSBs in working with the Psychological First Aid Program (PFA). One important concept in the PFA program is inclusion of community volunteers to ensure DBHDS does not exhaust their supply of psychiatrists and</w:t>
      </w:r>
      <w:r>
        <w:rPr>
          <w:spacing w:val="-25"/>
        </w:rPr>
        <w:t xml:space="preserve"> </w:t>
      </w:r>
      <w:r>
        <w:t>psychologists.</w:t>
      </w:r>
    </w:p>
    <w:p w:rsidR="00000000" w:rsidRDefault="00B8558B">
      <w:pPr>
        <w:pStyle w:val="ListParagraph"/>
        <w:numPr>
          <w:ilvl w:val="1"/>
          <w:numId w:val="3"/>
        </w:numPr>
        <w:tabs>
          <w:tab w:val="left" w:pos="1541"/>
        </w:tabs>
        <w:kinsoku w:val="0"/>
        <w:overflowPunct w:val="0"/>
        <w:spacing w:line="247" w:lineRule="auto"/>
        <w:ind w:right="295"/>
        <w:jc w:val="both"/>
        <w:sectPr w:rsidR="00000000">
          <w:headerReference w:type="default" r:id="rId13"/>
          <w:footerReference w:type="default" r:id="rId14"/>
          <w:pgSz w:w="12240" w:h="15840"/>
          <w:pgMar w:top="1600" w:right="980" w:bottom="980" w:left="980" w:header="775" w:footer="792" w:gutter="0"/>
          <w:pgNumType w:start="2"/>
          <w:cols w:space="720" w:equalWidth="0">
            <w:col w:w="10280"/>
          </w:cols>
          <w:noEndnote/>
        </w:sectPr>
      </w:pPr>
    </w:p>
    <w:p w:rsidR="00000000" w:rsidRDefault="00B8558B">
      <w:pPr>
        <w:pStyle w:val="BodyText"/>
        <w:kinsoku w:val="0"/>
        <w:overflowPunct w:val="0"/>
        <w:spacing w:before="5"/>
        <w:rPr>
          <w:sz w:val="16"/>
          <w:szCs w:val="16"/>
        </w:rPr>
      </w:pPr>
    </w:p>
    <w:p w:rsidR="00000000" w:rsidRDefault="00B8558B">
      <w:pPr>
        <w:pStyle w:val="Heading1"/>
        <w:kinsoku w:val="0"/>
        <w:overflowPunct w:val="0"/>
        <w:spacing w:before="51"/>
      </w:pPr>
      <w:r>
        <w:t>Purpose Section</w:t>
      </w:r>
    </w:p>
    <w:p w:rsidR="00000000" w:rsidRDefault="00B8558B">
      <w:pPr>
        <w:pStyle w:val="BodyText"/>
        <w:kinsoku w:val="0"/>
        <w:overflowPunct w:val="0"/>
        <w:spacing w:before="1"/>
        <w:rPr>
          <w:b/>
          <w:bCs/>
          <w:sz w:val="25"/>
          <w:szCs w:val="25"/>
        </w:rPr>
      </w:pPr>
    </w:p>
    <w:p w:rsidR="00000000" w:rsidRDefault="00B8558B">
      <w:pPr>
        <w:pStyle w:val="BodyText"/>
        <w:kinsoku w:val="0"/>
        <w:overflowPunct w:val="0"/>
        <w:ind w:left="532"/>
      </w:pPr>
      <w:r>
        <w:t>The Board recommends that the Policy be revised to:</w:t>
      </w:r>
    </w:p>
    <w:p w:rsidR="00000000" w:rsidRDefault="00B8558B">
      <w:pPr>
        <w:pStyle w:val="BodyText"/>
        <w:kinsoku w:val="0"/>
        <w:overflowPunct w:val="0"/>
        <w:spacing w:before="6"/>
        <w:rPr>
          <w:sz w:val="19"/>
          <w:szCs w:val="19"/>
        </w:rPr>
      </w:pPr>
    </w:p>
    <w:p w:rsidR="00000000" w:rsidRDefault="00B8558B">
      <w:pPr>
        <w:pStyle w:val="ListParagraph"/>
        <w:numPr>
          <w:ilvl w:val="0"/>
          <w:numId w:val="3"/>
        </w:numPr>
        <w:tabs>
          <w:tab w:val="left" w:pos="1181"/>
        </w:tabs>
        <w:kinsoku w:val="0"/>
        <w:overflowPunct w:val="0"/>
        <w:spacing w:before="1"/>
      </w:pPr>
      <w:r>
        <w:t>Include individuals with developmental disabilities other than</w:t>
      </w:r>
      <w:r>
        <w:rPr>
          <w:spacing w:val="-23"/>
        </w:rPr>
        <w:t xml:space="preserve"> </w:t>
      </w:r>
      <w:r>
        <w:t>ID.</w:t>
      </w:r>
    </w:p>
    <w:p w:rsidR="00000000" w:rsidRDefault="00B8558B">
      <w:pPr>
        <w:pStyle w:val="Heading1"/>
        <w:kinsoku w:val="0"/>
        <w:overflowPunct w:val="0"/>
        <w:spacing w:before="247"/>
      </w:pPr>
      <w:r>
        <w:t>Policy Section</w:t>
      </w:r>
    </w:p>
    <w:p w:rsidR="00000000" w:rsidRDefault="00B8558B">
      <w:pPr>
        <w:pStyle w:val="BodyText"/>
        <w:kinsoku w:val="0"/>
        <w:overflowPunct w:val="0"/>
        <w:spacing w:before="1"/>
        <w:rPr>
          <w:b/>
          <w:bCs/>
          <w:sz w:val="25"/>
          <w:szCs w:val="25"/>
        </w:rPr>
      </w:pPr>
    </w:p>
    <w:p w:rsidR="00000000" w:rsidRDefault="00B8558B">
      <w:pPr>
        <w:pStyle w:val="BodyText"/>
        <w:kinsoku w:val="0"/>
        <w:overflowPunct w:val="0"/>
        <w:ind w:left="532"/>
      </w:pPr>
      <w:r>
        <w:t>The Board recommends that the Policy be revised to:</w:t>
      </w:r>
    </w:p>
    <w:p w:rsidR="00000000" w:rsidRDefault="00B8558B">
      <w:pPr>
        <w:pStyle w:val="BodyText"/>
        <w:kinsoku w:val="0"/>
        <w:overflowPunct w:val="0"/>
        <w:spacing w:before="6"/>
        <w:rPr>
          <w:sz w:val="19"/>
          <w:szCs w:val="19"/>
        </w:rPr>
      </w:pPr>
    </w:p>
    <w:p w:rsidR="00000000" w:rsidRDefault="00B8558B">
      <w:pPr>
        <w:pStyle w:val="ListParagraph"/>
        <w:numPr>
          <w:ilvl w:val="0"/>
          <w:numId w:val="3"/>
        </w:numPr>
        <w:tabs>
          <w:tab w:val="left" w:pos="1181"/>
        </w:tabs>
        <w:kinsoku w:val="0"/>
        <w:overflowPunct w:val="0"/>
        <w:spacing w:line="247" w:lineRule="auto"/>
        <w:ind w:right="293"/>
      </w:pPr>
      <w:r>
        <w:t xml:space="preserve">Ensure that the needs of individuals with DD other than ID are addressed with respect to crisis response. There may be behavioral challenges resulting from an emergency that are not mental health issues, but need to be addressed. For example an individual </w:t>
      </w:r>
      <w:r>
        <w:t>with autism may have a significant response to an emergency. However, the strategies for stabilizing that individual may also differ significantly from a mental health crisis</w:t>
      </w:r>
      <w:r>
        <w:rPr>
          <w:spacing w:val="-34"/>
        </w:rPr>
        <w:t xml:space="preserve"> </w:t>
      </w:r>
      <w:r>
        <w:t>intervention.</w:t>
      </w:r>
    </w:p>
    <w:p w:rsidR="00000000" w:rsidRDefault="00B8558B">
      <w:pPr>
        <w:pStyle w:val="ListParagraph"/>
        <w:numPr>
          <w:ilvl w:val="0"/>
          <w:numId w:val="3"/>
        </w:numPr>
        <w:tabs>
          <w:tab w:val="left" w:pos="1181"/>
        </w:tabs>
        <w:kinsoku w:val="0"/>
        <w:overflowPunct w:val="0"/>
        <w:spacing w:line="244" w:lineRule="auto"/>
        <w:ind w:right="118"/>
      </w:pPr>
      <w:r>
        <w:t>Include in in-service training requirements for CSBs and facility c</w:t>
      </w:r>
      <w:r>
        <w:t>linical staff, information about positive behavioral supports and natural community supports as strategies in times of emergency.</w:t>
      </w:r>
    </w:p>
    <w:p w:rsidR="00000000" w:rsidRDefault="00B8558B">
      <w:pPr>
        <w:pStyle w:val="ListParagraph"/>
        <w:numPr>
          <w:ilvl w:val="0"/>
          <w:numId w:val="3"/>
        </w:numPr>
        <w:tabs>
          <w:tab w:val="left" w:pos="1181"/>
        </w:tabs>
        <w:kinsoku w:val="0"/>
        <w:overflowPunct w:val="0"/>
        <w:spacing w:before="3" w:line="247" w:lineRule="auto"/>
        <w:ind w:right="581"/>
      </w:pPr>
      <w:r>
        <w:t>Expand DBHDS’ education role beyond policymakers and decision-makers to individuals with disabilities and their family members</w:t>
      </w:r>
      <w:r>
        <w:t>. This should include but not be limited to educating individuals and families on how</w:t>
      </w:r>
      <w:r>
        <w:rPr>
          <w:spacing w:val="-16"/>
        </w:rPr>
        <w:t xml:space="preserve"> </w:t>
      </w:r>
      <w:r>
        <w:t>to:</w:t>
      </w:r>
    </w:p>
    <w:p w:rsidR="00000000" w:rsidRDefault="00B8558B">
      <w:pPr>
        <w:pStyle w:val="ListParagraph"/>
        <w:numPr>
          <w:ilvl w:val="0"/>
          <w:numId w:val="2"/>
        </w:numPr>
        <w:tabs>
          <w:tab w:val="left" w:pos="1901"/>
        </w:tabs>
        <w:kinsoku w:val="0"/>
        <w:overflowPunct w:val="0"/>
        <w:spacing w:line="299" w:lineRule="exact"/>
      </w:pPr>
      <w:r>
        <w:t xml:space="preserve">locate a </w:t>
      </w:r>
      <w:proofErr w:type="spellStart"/>
      <w:r>
        <w:t>back up</w:t>
      </w:r>
      <w:proofErr w:type="spellEnd"/>
      <w:r>
        <w:t xml:space="preserve"> support provider before a</w:t>
      </w:r>
      <w:r>
        <w:rPr>
          <w:spacing w:val="-16"/>
        </w:rPr>
        <w:t xml:space="preserve"> </w:t>
      </w:r>
      <w:r>
        <w:t>disaster;</w:t>
      </w:r>
    </w:p>
    <w:p w:rsidR="00000000" w:rsidRDefault="00B8558B">
      <w:pPr>
        <w:pStyle w:val="ListParagraph"/>
        <w:numPr>
          <w:ilvl w:val="0"/>
          <w:numId w:val="2"/>
        </w:numPr>
        <w:tabs>
          <w:tab w:val="left" w:pos="1901"/>
        </w:tabs>
        <w:kinsoku w:val="0"/>
        <w:overflowPunct w:val="0"/>
        <w:spacing w:line="300" w:lineRule="exact"/>
      </w:pPr>
      <w:r>
        <w:t>shelter in place;</w:t>
      </w:r>
      <w:r>
        <w:rPr>
          <w:spacing w:val="-6"/>
        </w:rPr>
        <w:t xml:space="preserve"> </w:t>
      </w:r>
      <w:r>
        <w:t>and</w:t>
      </w:r>
    </w:p>
    <w:p w:rsidR="00000000" w:rsidRDefault="00B8558B">
      <w:pPr>
        <w:pStyle w:val="ListParagraph"/>
        <w:numPr>
          <w:ilvl w:val="0"/>
          <w:numId w:val="2"/>
        </w:numPr>
        <w:tabs>
          <w:tab w:val="left" w:pos="1901"/>
        </w:tabs>
        <w:kinsoku w:val="0"/>
        <w:overflowPunct w:val="0"/>
      </w:pPr>
      <w:proofErr w:type="gramStart"/>
      <w:r>
        <w:t>make</w:t>
      </w:r>
      <w:proofErr w:type="gramEnd"/>
      <w:r>
        <w:t xml:space="preserve"> a survival</w:t>
      </w:r>
      <w:r>
        <w:rPr>
          <w:spacing w:val="-6"/>
        </w:rPr>
        <w:t xml:space="preserve"> </w:t>
      </w:r>
      <w:r>
        <w:t>kit.</w:t>
      </w:r>
    </w:p>
    <w:p w:rsidR="00000000" w:rsidRDefault="00B8558B">
      <w:pPr>
        <w:pStyle w:val="BodyText"/>
        <w:kinsoku w:val="0"/>
        <w:overflowPunct w:val="0"/>
        <w:spacing w:before="120" w:line="244" w:lineRule="auto"/>
        <w:ind w:left="1180" w:right="112"/>
      </w:pPr>
      <w:r>
        <w:t>Empowering individuals with disabilities and their family members to p</w:t>
      </w:r>
      <w:r>
        <w:t xml:space="preserve">repare for a disaster is important. While the below references </w:t>
      </w:r>
      <w:proofErr w:type="gramStart"/>
      <w:r>
        <w:t>do not need</w:t>
      </w:r>
      <w:proofErr w:type="gramEnd"/>
      <w:r>
        <w:t xml:space="preserve"> to be contained in the Policy, the Board recommends incorporating these resources into education and outreach efforts:</w:t>
      </w:r>
    </w:p>
    <w:p w:rsidR="00C5067C" w:rsidRDefault="00C5067C">
      <w:pPr>
        <w:pStyle w:val="BodyText"/>
        <w:kinsoku w:val="0"/>
        <w:overflowPunct w:val="0"/>
        <w:spacing w:before="1" w:line="244" w:lineRule="auto"/>
        <w:ind w:left="1540" w:right="2559"/>
      </w:pPr>
      <w:hyperlink r:id="rId15" w:history="1">
        <w:r w:rsidRPr="00C5067C">
          <w:rPr>
            <w:rStyle w:val="Hyperlink"/>
          </w:rPr>
          <w:t>Ready.gov website</w:t>
        </w:r>
      </w:hyperlink>
    </w:p>
    <w:p w:rsidR="00C5067C" w:rsidRDefault="00C5067C">
      <w:pPr>
        <w:pStyle w:val="BodyText"/>
        <w:kinsoku w:val="0"/>
        <w:overflowPunct w:val="0"/>
        <w:spacing w:before="1" w:line="244" w:lineRule="auto"/>
        <w:ind w:left="1540" w:right="2559"/>
      </w:pPr>
      <w:hyperlink r:id="rId16" w:history="1">
        <w:r w:rsidRPr="00C5067C">
          <w:rPr>
            <w:rStyle w:val="Hyperlink"/>
          </w:rPr>
          <w:t>VAemergency.gov</w:t>
        </w:r>
      </w:hyperlink>
      <w:r>
        <w:t xml:space="preserve"> </w:t>
      </w:r>
    </w:p>
    <w:p w:rsidR="00000000" w:rsidRDefault="00C5067C">
      <w:pPr>
        <w:pStyle w:val="BodyText"/>
        <w:kinsoku w:val="0"/>
        <w:overflowPunct w:val="0"/>
        <w:spacing w:before="1" w:line="244" w:lineRule="auto"/>
        <w:ind w:left="1540" w:right="2559"/>
      </w:pPr>
      <w:hyperlink r:id="rId17" w:history="1">
        <w:r w:rsidRPr="00C5067C">
          <w:rPr>
            <w:rStyle w:val="Hyperlink"/>
          </w:rPr>
          <w:t>Ready.gov – plan for locations</w:t>
        </w:r>
      </w:hyperlink>
      <w:r>
        <w:t xml:space="preserve"> </w:t>
      </w:r>
    </w:p>
    <w:p w:rsidR="00000000" w:rsidRDefault="00B8558B">
      <w:pPr>
        <w:pStyle w:val="ListParagraph"/>
        <w:numPr>
          <w:ilvl w:val="0"/>
          <w:numId w:val="3"/>
        </w:numPr>
        <w:tabs>
          <w:tab w:val="left" w:pos="1181"/>
        </w:tabs>
        <w:kinsoku w:val="0"/>
        <w:overflowPunct w:val="0"/>
        <w:spacing w:line="244" w:lineRule="auto"/>
        <w:ind w:right="535"/>
      </w:pPr>
      <w:r>
        <w:t xml:space="preserve">Require annual education of CSBs and state facility staff on the COVEP. The COVEOP has several “annexes.” Emergency Support Function (ESF 8) most </w:t>
      </w:r>
      <w:r>
        <w:t>closely addresses medical needs populations. In addition, VDEM also provides guidance to help communities</w:t>
      </w:r>
      <w:r>
        <w:rPr>
          <w:spacing w:val="-28"/>
        </w:rPr>
        <w:t xml:space="preserve"> </w:t>
      </w:r>
      <w:r>
        <w:t>in:</w:t>
      </w:r>
    </w:p>
    <w:p w:rsidR="00000000" w:rsidRDefault="00B8558B">
      <w:pPr>
        <w:pStyle w:val="ListParagraph"/>
        <w:numPr>
          <w:ilvl w:val="0"/>
          <w:numId w:val="1"/>
        </w:numPr>
        <w:tabs>
          <w:tab w:val="left" w:pos="1901"/>
        </w:tabs>
        <w:kinsoku w:val="0"/>
        <w:overflowPunct w:val="0"/>
        <w:spacing w:before="8"/>
        <w:ind w:right="386"/>
      </w:pPr>
      <w:r>
        <w:t>Accessing public health and medical needs to include support of regional and</w:t>
      </w:r>
      <w:r>
        <w:rPr>
          <w:spacing w:val="-36"/>
        </w:rPr>
        <w:t xml:space="preserve"> </w:t>
      </w:r>
      <w:r>
        <w:t>local teams.</w:t>
      </w:r>
    </w:p>
    <w:p w:rsidR="00000000" w:rsidRDefault="00B8558B">
      <w:pPr>
        <w:pStyle w:val="ListParagraph"/>
        <w:numPr>
          <w:ilvl w:val="0"/>
          <w:numId w:val="1"/>
        </w:numPr>
        <w:tabs>
          <w:tab w:val="left" w:pos="1901"/>
        </w:tabs>
        <w:kinsoku w:val="0"/>
        <w:overflowPunct w:val="0"/>
        <w:spacing w:before="6" w:line="300" w:lineRule="exact"/>
      </w:pPr>
      <w:r>
        <w:t>Evacuating in cooperation with federal, local, and priva</w:t>
      </w:r>
      <w:r>
        <w:t>te</w:t>
      </w:r>
      <w:r>
        <w:rPr>
          <w:spacing w:val="-26"/>
        </w:rPr>
        <w:t xml:space="preserve"> </w:t>
      </w:r>
      <w:r>
        <w:t>organizations.</w:t>
      </w:r>
    </w:p>
    <w:p w:rsidR="00000000" w:rsidRDefault="00B8558B">
      <w:pPr>
        <w:pStyle w:val="ListParagraph"/>
        <w:numPr>
          <w:ilvl w:val="0"/>
          <w:numId w:val="1"/>
        </w:numPr>
        <w:tabs>
          <w:tab w:val="left" w:pos="1901"/>
        </w:tabs>
        <w:kinsoku w:val="0"/>
        <w:overflowPunct w:val="0"/>
        <w:ind w:right="431"/>
      </w:pPr>
      <w:r>
        <w:t>Assisting with the planning for and coordinating the transporting of seriously ill or injured patients and medical needs populations from casualty</w:t>
      </w:r>
      <w:r>
        <w:rPr>
          <w:spacing w:val="-29"/>
        </w:rPr>
        <w:t xml:space="preserve"> </w:t>
      </w:r>
      <w:r>
        <w:t>collection.</w:t>
      </w:r>
    </w:p>
    <w:p w:rsidR="00000000" w:rsidRDefault="00B8558B">
      <w:pPr>
        <w:pStyle w:val="BodyText"/>
        <w:kinsoku w:val="0"/>
        <w:overflowPunct w:val="0"/>
        <w:spacing w:before="7"/>
        <w:rPr>
          <w:sz w:val="27"/>
          <w:szCs w:val="27"/>
        </w:rPr>
      </w:pPr>
    </w:p>
    <w:p w:rsidR="00B8558B" w:rsidRDefault="00B8558B">
      <w:pPr>
        <w:pStyle w:val="BodyText"/>
        <w:kinsoku w:val="0"/>
        <w:overflowPunct w:val="0"/>
        <w:spacing w:line="276" w:lineRule="auto"/>
        <w:ind w:left="100" w:right="112" w:firstLine="432"/>
        <w:rPr>
          <w:color w:val="000000"/>
        </w:rPr>
      </w:pPr>
      <w:r>
        <w:t xml:space="preserve">The Board appreciates the opportunity to provide input. Feel free to contact me at 804-786-9369 or </w:t>
      </w:r>
      <w:hyperlink r:id="rId18" w:history="1">
        <w:r>
          <w:rPr>
            <w:color w:val="0000FF"/>
            <w:u w:val="single"/>
          </w:rPr>
          <w:t>Heidi.Lawyer@vbpd.virginia.gov</w:t>
        </w:r>
        <w:r>
          <w:rPr>
            <w:color w:val="0000FF"/>
          </w:rPr>
          <w:t xml:space="preserve"> </w:t>
        </w:r>
      </w:hyperlink>
      <w:r>
        <w:rPr>
          <w:color w:val="000000"/>
        </w:rPr>
        <w:t>should you have any questions.</w:t>
      </w:r>
    </w:p>
    <w:sectPr w:rsidR="00B8558B">
      <w:pgSz w:w="12240" w:h="15840"/>
      <w:pgMar w:top="1600" w:right="960" w:bottom="980" w:left="980" w:header="775" w:footer="792" w:gutter="0"/>
      <w:cols w:space="720" w:equalWidth="0">
        <w:col w:w="10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8B" w:rsidRDefault="00B8558B">
      <w:r>
        <w:separator/>
      </w:r>
    </w:p>
  </w:endnote>
  <w:endnote w:type="continuationSeparator" w:id="0">
    <w:p w:rsidR="00B8558B" w:rsidRDefault="00B8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58B">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8B" w:rsidRDefault="00B8558B">
      <w:r>
        <w:separator/>
      </w:r>
    </w:p>
  </w:footnote>
  <w:footnote w:type="continuationSeparator" w:id="0">
    <w:p w:rsidR="00B8558B" w:rsidRDefault="00B8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558B">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380" w:hanging="360"/>
      </w:pPr>
      <w:rPr>
        <w:rFonts w:ascii="Symbol" w:hAnsi="Symbol" w:cs="Symbol"/>
        <w:b w:val="0"/>
        <w:bCs w:val="0"/>
        <w:w w:val="100"/>
        <w:sz w:val="24"/>
        <w:szCs w:val="24"/>
      </w:rPr>
    </w:lvl>
    <w:lvl w:ilvl="1">
      <w:numFmt w:val="bullet"/>
      <w:lvlText w:val="•"/>
      <w:lvlJc w:val="left"/>
      <w:pPr>
        <w:ind w:left="2328" w:hanging="360"/>
      </w:pPr>
    </w:lvl>
    <w:lvl w:ilvl="2">
      <w:numFmt w:val="bullet"/>
      <w:lvlText w:val="•"/>
      <w:lvlJc w:val="left"/>
      <w:pPr>
        <w:ind w:left="3276" w:hanging="360"/>
      </w:pPr>
    </w:lvl>
    <w:lvl w:ilvl="3">
      <w:numFmt w:val="bullet"/>
      <w:lvlText w:val="•"/>
      <w:lvlJc w:val="left"/>
      <w:pPr>
        <w:ind w:left="4224" w:hanging="360"/>
      </w:pPr>
    </w:lvl>
    <w:lvl w:ilvl="4">
      <w:numFmt w:val="bullet"/>
      <w:lvlText w:val="•"/>
      <w:lvlJc w:val="left"/>
      <w:pPr>
        <w:ind w:left="5172" w:hanging="360"/>
      </w:pPr>
    </w:lvl>
    <w:lvl w:ilvl="5">
      <w:numFmt w:val="bullet"/>
      <w:lvlText w:val="•"/>
      <w:lvlJc w:val="left"/>
      <w:pPr>
        <w:ind w:left="6120" w:hanging="360"/>
      </w:pPr>
    </w:lvl>
    <w:lvl w:ilvl="6">
      <w:numFmt w:val="bullet"/>
      <w:lvlText w:val="•"/>
      <w:lvlJc w:val="left"/>
      <w:pPr>
        <w:ind w:left="7068" w:hanging="360"/>
      </w:pPr>
    </w:lvl>
    <w:lvl w:ilvl="7">
      <w:numFmt w:val="bullet"/>
      <w:lvlText w:val="•"/>
      <w:lvlJc w:val="left"/>
      <w:pPr>
        <w:ind w:left="8016" w:hanging="360"/>
      </w:pPr>
    </w:lvl>
    <w:lvl w:ilvl="8">
      <w:numFmt w:val="bullet"/>
      <w:lvlText w:val="•"/>
      <w:lvlJc w:val="left"/>
      <w:pPr>
        <w:ind w:left="8964" w:hanging="360"/>
      </w:pPr>
    </w:lvl>
  </w:abstractNum>
  <w:abstractNum w:abstractNumId="1">
    <w:nsid w:val="00000403"/>
    <w:multiLevelType w:val="multilevel"/>
    <w:tmpl w:val="00000886"/>
    <w:lvl w:ilvl="0">
      <w:numFmt w:val="bullet"/>
      <w:lvlText w:val=""/>
      <w:lvlJc w:val="left"/>
      <w:pPr>
        <w:ind w:left="1180" w:hanging="360"/>
      </w:pPr>
      <w:rPr>
        <w:rFonts w:ascii="Symbol" w:hAnsi="Symbol" w:cs="Symbol"/>
        <w:b w:val="0"/>
        <w:bCs w:val="0"/>
        <w:w w:val="100"/>
        <w:sz w:val="24"/>
        <w:szCs w:val="24"/>
      </w:rPr>
    </w:lvl>
    <w:lvl w:ilvl="1">
      <w:numFmt w:val="bullet"/>
      <w:lvlText w:val=""/>
      <w:lvlJc w:val="left"/>
      <w:pPr>
        <w:ind w:left="1540" w:hanging="360"/>
      </w:pPr>
      <w:rPr>
        <w:rFonts w:ascii="Symbol" w:hAnsi="Symbol" w:cs="Symbol"/>
        <w:b w:val="0"/>
        <w:bCs w:val="0"/>
        <w:w w:val="100"/>
        <w:sz w:val="24"/>
        <w:szCs w:val="24"/>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2">
    <w:nsid w:val="00000404"/>
    <w:multiLevelType w:val="multilevel"/>
    <w:tmpl w:val="00000887"/>
    <w:lvl w:ilvl="0">
      <w:numFmt w:val="bullet"/>
      <w:lvlText w:val="o"/>
      <w:lvlJc w:val="left"/>
      <w:pPr>
        <w:ind w:left="1900" w:hanging="360"/>
      </w:pPr>
      <w:rPr>
        <w:rFonts w:ascii="Courier New" w:hAnsi="Courier New" w:cs="Courier New"/>
        <w:b w:val="0"/>
        <w:bCs w:val="0"/>
        <w:w w:val="100"/>
        <w:sz w:val="24"/>
        <w:szCs w:val="24"/>
      </w:rPr>
    </w:lvl>
    <w:lvl w:ilvl="1">
      <w:numFmt w:val="bullet"/>
      <w:lvlText w:val="•"/>
      <w:lvlJc w:val="left"/>
      <w:pPr>
        <w:ind w:left="2740" w:hanging="360"/>
      </w:pPr>
    </w:lvl>
    <w:lvl w:ilvl="2">
      <w:numFmt w:val="bullet"/>
      <w:lvlText w:val="•"/>
      <w:lvlJc w:val="left"/>
      <w:pPr>
        <w:ind w:left="3580" w:hanging="360"/>
      </w:pPr>
    </w:lvl>
    <w:lvl w:ilvl="3">
      <w:numFmt w:val="bullet"/>
      <w:lvlText w:val="•"/>
      <w:lvlJc w:val="left"/>
      <w:pPr>
        <w:ind w:left="4420" w:hanging="360"/>
      </w:pPr>
    </w:lvl>
    <w:lvl w:ilvl="4">
      <w:numFmt w:val="bullet"/>
      <w:lvlText w:val="•"/>
      <w:lvlJc w:val="left"/>
      <w:pPr>
        <w:ind w:left="5260" w:hanging="360"/>
      </w:pPr>
    </w:lvl>
    <w:lvl w:ilvl="5">
      <w:numFmt w:val="bullet"/>
      <w:lvlText w:val="•"/>
      <w:lvlJc w:val="left"/>
      <w:pPr>
        <w:ind w:left="6100" w:hanging="360"/>
      </w:pPr>
    </w:lvl>
    <w:lvl w:ilvl="6">
      <w:numFmt w:val="bullet"/>
      <w:lvlText w:val="•"/>
      <w:lvlJc w:val="left"/>
      <w:pPr>
        <w:ind w:left="6940" w:hanging="360"/>
      </w:pPr>
    </w:lvl>
    <w:lvl w:ilvl="7">
      <w:numFmt w:val="bullet"/>
      <w:lvlText w:val="•"/>
      <w:lvlJc w:val="left"/>
      <w:pPr>
        <w:ind w:left="7780" w:hanging="360"/>
      </w:pPr>
    </w:lvl>
    <w:lvl w:ilvl="8">
      <w:numFmt w:val="bullet"/>
      <w:lvlText w:val="•"/>
      <w:lvlJc w:val="left"/>
      <w:pPr>
        <w:ind w:left="8620" w:hanging="360"/>
      </w:pPr>
    </w:lvl>
  </w:abstractNum>
  <w:abstractNum w:abstractNumId="3">
    <w:nsid w:val="00000405"/>
    <w:multiLevelType w:val="multilevel"/>
    <w:tmpl w:val="00000888"/>
    <w:lvl w:ilvl="0">
      <w:numFmt w:val="bullet"/>
      <w:lvlText w:val="o"/>
      <w:lvlJc w:val="left"/>
      <w:pPr>
        <w:ind w:left="1900" w:hanging="360"/>
      </w:pPr>
      <w:rPr>
        <w:rFonts w:ascii="Courier New" w:hAnsi="Courier New" w:cs="Courier New"/>
        <w:b w:val="0"/>
        <w:bCs w:val="0"/>
        <w:w w:val="100"/>
        <w:sz w:val="24"/>
        <w:szCs w:val="24"/>
      </w:rPr>
    </w:lvl>
    <w:lvl w:ilvl="1">
      <w:numFmt w:val="bullet"/>
      <w:lvlText w:val="•"/>
      <w:lvlJc w:val="left"/>
      <w:pPr>
        <w:ind w:left="2740" w:hanging="360"/>
      </w:pPr>
    </w:lvl>
    <w:lvl w:ilvl="2">
      <w:numFmt w:val="bullet"/>
      <w:lvlText w:val="•"/>
      <w:lvlJc w:val="left"/>
      <w:pPr>
        <w:ind w:left="3580" w:hanging="360"/>
      </w:pPr>
    </w:lvl>
    <w:lvl w:ilvl="3">
      <w:numFmt w:val="bullet"/>
      <w:lvlText w:val="•"/>
      <w:lvlJc w:val="left"/>
      <w:pPr>
        <w:ind w:left="4420" w:hanging="360"/>
      </w:pPr>
    </w:lvl>
    <w:lvl w:ilvl="4">
      <w:numFmt w:val="bullet"/>
      <w:lvlText w:val="•"/>
      <w:lvlJc w:val="left"/>
      <w:pPr>
        <w:ind w:left="5260" w:hanging="360"/>
      </w:pPr>
    </w:lvl>
    <w:lvl w:ilvl="5">
      <w:numFmt w:val="bullet"/>
      <w:lvlText w:val="•"/>
      <w:lvlJc w:val="left"/>
      <w:pPr>
        <w:ind w:left="6100" w:hanging="360"/>
      </w:pPr>
    </w:lvl>
    <w:lvl w:ilvl="6">
      <w:numFmt w:val="bullet"/>
      <w:lvlText w:val="•"/>
      <w:lvlJc w:val="left"/>
      <w:pPr>
        <w:ind w:left="6940" w:hanging="360"/>
      </w:pPr>
    </w:lvl>
    <w:lvl w:ilvl="7">
      <w:numFmt w:val="bullet"/>
      <w:lvlText w:val="•"/>
      <w:lvlJc w:val="left"/>
      <w:pPr>
        <w:ind w:left="7780" w:hanging="360"/>
      </w:pPr>
    </w:lvl>
    <w:lvl w:ilvl="8">
      <w:numFmt w:val="bullet"/>
      <w:lvlText w:val="•"/>
      <w:lvlJc w:val="left"/>
      <w:pPr>
        <w:ind w:left="862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ED"/>
    <w:rsid w:val="00B8558B"/>
    <w:rsid w:val="00C5067C"/>
    <w:rsid w:val="00F2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C5067C"/>
    <w:rPr>
      <w:rFonts w:ascii="Tahoma" w:hAnsi="Tahoma" w:cs="Tahoma"/>
      <w:sz w:val="16"/>
      <w:szCs w:val="16"/>
    </w:rPr>
  </w:style>
  <w:style w:type="character" w:customStyle="1" w:styleId="BalloonTextChar">
    <w:name w:val="Balloon Text Char"/>
    <w:basedOn w:val="DefaultParagraphFont"/>
    <w:link w:val="BalloonText"/>
    <w:uiPriority w:val="99"/>
    <w:semiHidden/>
    <w:rsid w:val="00C5067C"/>
    <w:rPr>
      <w:rFonts w:ascii="Tahoma" w:hAnsi="Tahoma" w:cs="Tahoma"/>
      <w:sz w:val="16"/>
      <w:szCs w:val="16"/>
    </w:rPr>
  </w:style>
  <w:style w:type="character" w:styleId="Hyperlink">
    <w:name w:val="Hyperlink"/>
    <w:basedOn w:val="DefaultParagraphFont"/>
    <w:uiPriority w:val="99"/>
    <w:unhideWhenUsed/>
    <w:rsid w:val="00C5067C"/>
    <w:rPr>
      <w:color w:val="0000FF" w:themeColor="hyperlink"/>
      <w:u w:val="single"/>
    </w:rPr>
  </w:style>
  <w:style w:type="table" w:styleId="TableGrid">
    <w:name w:val="Table Grid"/>
    <w:basedOn w:val="TableNormal"/>
    <w:uiPriority w:val="59"/>
    <w:rsid w:val="00C5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C5067C"/>
    <w:rPr>
      <w:rFonts w:ascii="Tahoma" w:hAnsi="Tahoma" w:cs="Tahoma"/>
      <w:sz w:val="16"/>
      <w:szCs w:val="16"/>
    </w:rPr>
  </w:style>
  <w:style w:type="character" w:customStyle="1" w:styleId="BalloonTextChar">
    <w:name w:val="Balloon Text Char"/>
    <w:basedOn w:val="DefaultParagraphFont"/>
    <w:link w:val="BalloonText"/>
    <w:uiPriority w:val="99"/>
    <w:semiHidden/>
    <w:rsid w:val="00C5067C"/>
    <w:rPr>
      <w:rFonts w:ascii="Tahoma" w:hAnsi="Tahoma" w:cs="Tahoma"/>
      <w:sz w:val="16"/>
      <w:szCs w:val="16"/>
    </w:rPr>
  </w:style>
  <w:style w:type="character" w:styleId="Hyperlink">
    <w:name w:val="Hyperlink"/>
    <w:basedOn w:val="DefaultParagraphFont"/>
    <w:uiPriority w:val="99"/>
    <w:unhideWhenUsed/>
    <w:rsid w:val="00C5067C"/>
    <w:rPr>
      <w:color w:val="0000FF" w:themeColor="hyperlink"/>
      <w:u w:val="single"/>
    </w:rPr>
  </w:style>
  <w:style w:type="table" w:styleId="TableGrid">
    <w:name w:val="Table Grid"/>
    <w:basedOn w:val="TableNormal"/>
    <w:uiPriority w:val="59"/>
    <w:rsid w:val="00C5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mailto:Heidi.Lawyer@vbpd.virginia.gov"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lis.virginia.gov/cgi-bin/legp604.exe?000%2Bcod%2B2.2-200" TargetMode="External"/><Relationship Id="rId17" Type="http://schemas.openxmlformats.org/officeDocument/2006/relationships/hyperlink" Target="http://www.ready.gov/plan-for-locations" TargetMode="Externa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ready.gov/individuals-access-functional-nee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ready.gov/individuals-access-functional-needs" TargetMode="External"/><Relationship Id="rId23" Type="http://schemas.openxmlformats.org/officeDocument/2006/relationships/customXml" Target="../customXml/item3.xml"/><Relationship Id="rId10" Type="http://schemas.openxmlformats.org/officeDocument/2006/relationships/hyperlink" Target="http://Website:%20www.vaboar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NKAHMF2WWKTP-399312027-2107</_dlc_DocId>
    <_dlc_DocIdUrl xmlns="89461f00-0b74-46d7-ba90-7a84aa4e2ee4">
      <Url>https://sharepoint.wwrc.net/VBPDdocs/_layouts/15/DocIdRedir.aspx?ID=NKAHMF2WWKTP-399312027-2107</Url>
      <Description>NKAHMF2WWKTP-399312027-2107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CAA65-EFED-44DD-9D69-BC9DFE5171F6}"/>
</file>

<file path=customXml/itemProps2.xml><?xml version="1.0" encoding="utf-8"?>
<ds:datastoreItem xmlns:ds="http://schemas.openxmlformats.org/officeDocument/2006/customXml" ds:itemID="{E2780B8B-3F1B-4867-884A-914E857BAA09}"/>
</file>

<file path=customXml/itemProps3.xml><?xml version="1.0" encoding="utf-8"?>
<ds:datastoreItem xmlns:ds="http://schemas.openxmlformats.org/officeDocument/2006/customXml" ds:itemID="{69A0E862-AC41-4823-82B0-E159E940EF43}"/>
</file>

<file path=customXml/itemProps4.xml><?xml version="1.0" encoding="utf-8"?>
<ds:datastoreItem xmlns:ds="http://schemas.openxmlformats.org/officeDocument/2006/customXml" ds:itemID="{D7B8D6A6-9CF4-4FB9-AAD3-6CE10D3F8E60}"/>
</file>

<file path=customXml/itemProps5.xml><?xml version="1.0" encoding="utf-8"?>
<ds:datastoreItem xmlns:ds="http://schemas.openxmlformats.org/officeDocument/2006/customXml" ds:itemID="{26103821-53C0-427F-88EF-EBA99AC9B3F0}"/>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2017-07-25T18:22:00Z</dcterms:created>
  <dcterms:modified xsi:type="dcterms:W3CDTF">2017-07-25T18:25:00Z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0x0101009A83348A73B2104AA43CA6202EED0D55</vt:lpwstr>
  </property>
  <property fmtid="{D5CDD505-2E9C-101B-9397-08002B2CF9AE}" pid="4" name="_dlc_DocIdItemGuid">
    <vt:lpwstr>40f15235-8189-4062-8a74-2de133c5f329</vt:lpwstr>
  </property>
</Properties>
</file>