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19B4" w14:textId="77777777" w:rsidR="0019112F" w:rsidRPr="0019112F" w:rsidRDefault="0019112F" w:rsidP="0019112F">
      <w:pPr>
        <w:spacing w:after="200" w:line="276" w:lineRule="auto"/>
        <w:jc w:val="center"/>
        <w:rPr>
          <w:rFonts w:ascii="Calibri" w:eastAsia="Calibri" w:hAnsi="Calibri"/>
          <w:sz w:val="22"/>
          <w:szCs w:val="22"/>
        </w:rPr>
      </w:pPr>
      <w:r w:rsidRPr="0019112F">
        <w:rPr>
          <w:rFonts w:ascii="Calibri" w:eastAsia="Calibri" w:hAnsi="Calibri"/>
          <w:noProof/>
          <w:sz w:val="22"/>
          <w:szCs w:val="22"/>
        </w:rPr>
        <w:drawing>
          <wp:inline distT="0" distB="0" distL="0" distR="0" wp14:anchorId="20AF86A6" wp14:editId="08CD5E8E">
            <wp:extent cx="1085850" cy="1058310"/>
            <wp:effectExtent l="0" t="0" r="0" b="8890"/>
            <wp:docPr id="1"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 &amp; Graphics\##Logos\Comm of VA\State seal 1200dpi reflex blu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58310"/>
                    </a:xfrm>
                    <a:prstGeom prst="rect">
                      <a:avLst/>
                    </a:prstGeom>
                    <a:noFill/>
                    <a:ln>
                      <a:noFill/>
                    </a:ln>
                  </pic:spPr>
                </pic:pic>
              </a:graphicData>
            </a:graphic>
          </wp:inline>
        </w:drawing>
      </w:r>
    </w:p>
    <w:p w14:paraId="59D6DC77" w14:textId="77777777" w:rsidR="0019112F" w:rsidRPr="0019112F" w:rsidRDefault="0019112F" w:rsidP="0019112F">
      <w:pPr>
        <w:tabs>
          <w:tab w:val="center" w:pos="4680"/>
        </w:tabs>
        <w:spacing w:line="300" w:lineRule="exact"/>
        <w:contextualSpacing/>
        <w:jc w:val="center"/>
        <w:rPr>
          <w:rFonts w:ascii="Copperplate Gothic Light" w:eastAsia="Calibri" w:hAnsi="Copperplate Gothic Light" w:cs="Arial"/>
          <w:color w:val="00539F"/>
        </w:rPr>
      </w:pPr>
      <w:r w:rsidRPr="0019112F">
        <w:rPr>
          <w:rFonts w:ascii="Copperplate Gothic Light" w:eastAsia="Calibri" w:hAnsi="Copperplate Gothic Light" w:cs="Arial"/>
          <w:color w:val="00539F"/>
        </w:rPr>
        <w:t>Commonwealth of Virginia</w:t>
      </w:r>
    </w:p>
    <w:p w14:paraId="22D4A569" w14:textId="77777777" w:rsidR="0019112F" w:rsidRPr="0019112F" w:rsidRDefault="0019112F" w:rsidP="0019112F">
      <w:pPr>
        <w:tabs>
          <w:tab w:val="center" w:pos="4680"/>
        </w:tabs>
        <w:spacing w:line="300" w:lineRule="exact"/>
        <w:contextualSpacing/>
        <w:jc w:val="center"/>
        <w:rPr>
          <w:rFonts w:ascii="Minion Pro" w:eastAsia="Calibri" w:hAnsi="Minion Pro" w:cs="Arial"/>
          <w:i/>
          <w:color w:val="00539F"/>
        </w:rPr>
      </w:pPr>
      <w:r w:rsidRPr="0019112F">
        <w:rPr>
          <w:rFonts w:ascii="Minion Pro" w:eastAsia="Calibri" w:hAnsi="Minion Pro" w:cs="Arial"/>
          <w:i/>
          <w:color w:val="00539F"/>
        </w:rPr>
        <w:t>Virginia Board for People with Disabilities</w:t>
      </w:r>
    </w:p>
    <w:p w14:paraId="52DA815D" w14:textId="77777777" w:rsidR="0019112F" w:rsidRPr="0019112F" w:rsidRDefault="0019112F" w:rsidP="0019112F">
      <w:pPr>
        <w:tabs>
          <w:tab w:val="center" w:pos="4680"/>
        </w:tabs>
        <w:spacing w:line="300" w:lineRule="exact"/>
        <w:contextualSpacing/>
        <w:jc w:val="center"/>
        <w:rPr>
          <w:rFonts w:ascii="Minion Pro" w:eastAsia="Calibri" w:hAnsi="Minion Pro" w:cs="Arial"/>
          <w:i/>
          <w:color w:val="00539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tterhead"/>
      </w:tblPr>
      <w:tblGrid>
        <w:gridCol w:w="2880"/>
        <w:gridCol w:w="3330"/>
        <w:gridCol w:w="3148"/>
      </w:tblGrid>
      <w:tr w:rsidR="0019112F" w:rsidRPr="0019112F" w14:paraId="3D6CCDC2" w14:textId="77777777" w:rsidTr="00FD2F2D">
        <w:trPr>
          <w:tblHeader/>
          <w:jc w:val="center"/>
        </w:trPr>
        <w:tc>
          <w:tcPr>
            <w:tcW w:w="2880" w:type="dxa"/>
          </w:tcPr>
          <w:p w14:paraId="23A1ACEC" w14:textId="77777777" w:rsidR="0019112F" w:rsidRPr="0019112F" w:rsidRDefault="0019112F" w:rsidP="0019112F">
            <w:pPr>
              <w:spacing w:line="200" w:lineRule="exact"/>
              <w:contextualSpacing/>
              <w:rPr>
                <w:rFonts w:ascii="Calibri" w:eastAsia="Calibri" w:hAnsi="Calibri"/>
                <w:b/>
                <w:color w:val="365F91"/>
                <w:sz w:val="20"/>
                <w:szCs w:val="20"/>
              </w:rPr>
            </w:pPr>
            <w:r w:rsidRPr="0019112F">
              <w:rPr>
                <w:rFonts w:ascii="Calibri" w:eastAsia="Calibri" w:hAnsi="Calibri"/>
                <w:b/>
                <w:color w:val="365F91"/>
                <w:sz w:val="20"/>
                <w:szCs w:val="20"/>
              </w:rPr>
              <w:t>Mary McAdam</w:t>
            </w:r>
          </w:p>
        </w:tc>
        <w:tc>
          <w:tcPr>
            <w:tcW w:w="3330" w:type="dxa"/>
          </w:tcPr>
          <w:p w14:paraId="0C738EF0" w14:textId="77777777" w:rsidR="0019112F" w:rsidRPr="0019112F" w:rsidRDefault="0019112F" w:rsidP="0019112F">
            <w:pPr>
              <w:spacing w:line="200" w:lineRule="exact"/>
              <w:contextualSpacing/>
              <w:jc w:val="center"/>
              <w:rPr>
                <w:rFonts w:ascii="Calibri" w:eastAsia="Calibri" w:hAnsi="Calibri"/>
                <w:i/>
                <w:color w:val="365F91"/>
                <w:sz w:val="20"/>
                <w:szCs w:val="20"/>
              </w:rPr>
            </w:pPr>
            <w:r w:rsidRPr="0019112F">
              <w:rPr>
                <w:rFonts w:ascii="Calibri" w:eastAsia="Calibri" w:hAnsi="Calibri"/>
                <w:i/>
                <w:color w:val="365F91"/>
                <w:sz w:val="20"/>
                <w:szCs w:val="20"/>
              </w:rPr>
              <w:t>Washington Building, Capitol Square</w:t>
            </w:r>
          </w:p>
        </w:tc>
        <w:tc>
          <w:tcPr>
            <w:tcW w:w="3148" w:type="dxa"/>
          </w:tcPr>
          <w:p w14:paraId="483F3F50" w14:textId="77777777" w:rsidR="0019112F" w:rsidRPr="0019112F" w:rsidRDefault="0019112F" w:rsidP="0019112F">
            <w:pPr>
              <w:spacing w:line="200" w:lineRule="exact"/>
              <w:contextualSpacing/>
              <w:jc w:val="right"/>
              <w:rPr>
                <w:rFonts w:ascii="Calibri" w:eastAsia="Calibri" w:hAnsi="Calibri"/>
                <w:color w:val="365F91"/>
                <w:sz w:val="20"/>
                <w:szCs w:val="20"/>
              </w:rPr>
            </w:pPr>
            <w:r w:rsidRPr="0019112F">
              <w:rPr>
                <w:rFonts w:ascii="Calibri" w:eastAsia="Calibri" w:hAnsi="Calibri"/>
                <w:color w:val="365F91"/>
                <w:sz w:val="20"/>
                <w:szCs w:val="20"/>
              </w:rPr>
              <w:t>804-786-0016 (TTY/Voice)</w:t>
            </w:r>
          </w:p>
        </w:tc>
      </w:tr>
      <w:tr w:rsidR="0019112F" w:rsidRPr="0019112F" w14:paraId="39C2F612" w14:textId="77777777" w:rsidTr="00FD2F2D">
        <w:trPr>
          <w:jc w:val="center"/>
        </w:trPr>
        <w:tc>
          <w:tcPr>
            <w:tcW w:w="2880" w:type="dxa"/>
          </w:tcPr>
          <w:p w14:paraId="121E6252" w14:textId="77777777" w:rsidR="0019112F" w:rsidRPr="0019112F" w:rsidRDefault="0019112F" w:rsidP="0019112F">
            <w:pPr>
              <w:spacing w:line="200" w:lineRule="exact"/>
              <w:contextualSpacing/>
              <w:rPr>
                <w:rFonts w:ascii="Calibri" w:eastAsia="Calibri" w:hAnsi="Calibri"/>
                <w:i/>
                <w:color w:val="365F91"/>
                <w:sz w:val="20"/>
                <w:szCs w:val="20"/>
              </w:rPr>
            </w:pPr>
            <w:r w:rsidRPr="0019112F">
              <w:rPr>
                <w:rFonts w:ascii="Calibri" w:eastAsia="Calibri" w:hAnsi="Calibri"/>
                <w:i/>
                <w:color w:val="365F91"/>
                <w:sz w:val="20"/>
                <w:szCs w:val="20"/>
              </w:rPr>
              <w:t>Chair</w:t>
            </w:r>
          </w:p>
        </w:tc>
        <w:tc>
          <w:tcPr>
            <w:tcW w:w="3330" w:type="dxa"/>
          </w:tcPr>
          <w:p w14:paraId="32AEAB46" w14:textId="77777777" w:rsidR="0019112F" w:rsidRPr="0019112F" w:rsidRDefault="0019112F" w:rsidP="0019112F">
            <w:pPr>
              <w:spacing w:line="200" w:lineRule="exact"/>
              <w:contextualSpacing/>
              <w:jc w:val="center"/>
              <w:rPr>
                <w:rFonts w:ascii="Calibri" w:eastAsia="Calibri" w:hAnsi="Calibri"/>
                <w:i/>
                <w:color w:val="365F91"/>
                <w:sz w:val="20"/>
                <w:szCs w:val="20"/>
              </w:rPr>
            </w:pPr>
            <w:r w:rsidRPr="0019112F">
              <w:rPr>
                <w:rFonts w:ascii="Calibri" w:eastAsia="Calibri" w:hAnsi="Calibri"/>
                <w:i/>
                <w:color w:val="365F91"/>
                <w:sz w:val="20"/>
                <w:szCs w:val="20"/>
              </w:rPr>
              <w:t>1100 Bank Street, 7th Floor</w:t>
            </w:r>
          </w:p>
        </w:tc>
        <w:tc>
          <w:tcPr>
            <w:tcW w:w="3148" w:type="dxa"/>
          </w:tcPr>
          <w:p w14:paraId="71ED5AD8" w14:textId="77777777" w:rsidR="0019112F" w:rsidRPr="0019112F" w:rsidRDefault="0019112F" w:rsidP="0019112F">
            <w:pPr>
              <w:spacing w:line="200" w:lineRule="exact"/>
              <w:contextualSpacing/>
              <w:jc w:val="right"/>
              <w:rPr>
                <w:rFonts w:ascii="Calibri" w:eastAsia="Calibri" w:hAnsi="Calibri"/>
                <w:color w:val="365F91"/>
                <w:sz w:val="20"/>
                <w:szCs w:val="20"/>
              </w:rPr>
            </w:pPr>
            <w:r w:rsidRPr="0019112F">
              <w:rPr>
                <w:rFonts w:ascii="Calibri" w:eastAsia="Calibri" w:hAnsi="Calibri"/>
                <w:color w:val="365F91"/>
                <w:sz w:val="20"/>
                <w:szCs w:val="20"/>
              </w:rPr>
              <w:t>1-800-846-4464 (TTY/ Voice)</w:t>
            </w:r>
          </w:p>
        </w:tc>
      </w:tr>
      <w:tr w:rsidR="0019112F" w:rsidRPr="0019112F" w14:paraId="1EBF7721" w14:textId="77777777" w:rsidTr="00FD2F2D">
        <w:trPr>
          <w:jc w:val="center"/>
        </w:trPr>
        <w:tc>
          <w:tcPr>
            <w:tcW w:w="2880" w:type="dxa"/>
          </w:tcPr>
          <w:p w14:paraId="0766F612" w14:textId="77777777" w:rsidR="0019112F" w:rsidRPr="0019112F" w:rsidRDefault="0019112F" w:rsidP="0019112F">
            <w:pPr>
              <w:spacing w:line="200" w:lineRule="exact"/>
              <w:contextualSpacing/>
              <w:rPr>
                <w:rFonts w:ascii="Calibri" w:eastAsia="Calibri" w:hAnsi="Calibri"/>
                <w:b/>
                <w:color w:val="365F91"/>
                <w:sz w:val="20"/>
                <w:szCs w:val="20"/>
              </w:rPr>
            </w:pPr>
            <w:r w:rsidRPr="0019112F">
              <w:rPr>
                <w:rFonts w:ascii="Calibri" w:eastAsia="Calibri" w:hAnsi="Calibri"/>
                <w:b/>
                <w:color w:val="365F91"/>
                <w:sz w:val="20"/>
                <w:szCs w:val="20"/>
              </w:rPr>
              <w:t>Rachel Loughlin</w:t>
            </w:r>
          </w:p>
        </w:tc>
        <w:tc>
          <w:tcPr>
            <w:tcW w:w="3330" w:type="dxa"/>
          </w:tcPr>
          <w:p w14:paraId="13FAC8BD" w14:textId="77777777" w:rsidR="0019112F" w:rsidRPr="0019112F" w:rsidRDefault="0019112F" w:rsidP="0019112F">
            <w:pPr>
              <w:spacing w:line="200" w:lineRule="exact"/>
              <w:contextualSpacing/>
              <w:jc w:val="center"/>
              <w:rPr>
                <w:rFonts w:ascii="Calibri" w:eastAsia="Calibri" w:hAnsi="Calibri"/>
                <w:i/>
                <w:color w:val="365F91"/>
                <w:sz w:val="20"/>
                <w:szCs w:val="20"/>
              </w:rPr>
            </w:pPr>
            <w:r w:rsidRPr="0019112F">
              <w:rPr>
                <w:rFonts w:ascii="Calibri" w:eastAsia="Calibri" w:hAnsi="Calibri"/>
                <w:i/>
                <w:color w:val="365F91"/>
                <w:sz w:val="20"/>
                <w:szCs w:val="20"/>
              </w:rPr>
              <w:t>Richmond, Virginia  23219</w:t>
            </w:r>
          </w:p>
        </w:tc>
        <w:tc>
          <w:tcPr>
            <w:tcW w:w="3148" w:type="dxa"/>
          </w:tcPr>
          <w:p w14:paraId="16F3B6FB" w14:textId="77777777" w:rsidR="0019112F" w:rsidRPr="0019112F" w:rsidRDefault="0019112F" w:rsidP="0019112F">
            <w:pPr>
              <w:spacing w:line="200" w:lineRule="exact"/>
              <w:contextualSpacing/>
              <w:jc w:val="right"/>
              <w:rPr>
                <w:rFonts w:ascii="Calibri" w:eastAsia="Calibri" w:hAnsi="Calibri"/>
                <w:color w:val="365F91"/>
                <w:sz w:val="20"/>
                <w:szCs w:val="20"/>
              </w:rPr>
            </w:pPr>
            <w:r w:rsidRPr="0019112F">
              <w:rPr>
                <w:rFonts w:ascii="Calibri" w:eastAsia="Calibri" w:hAnsi="Calibri"/>
                <w:color w:val="365F91"/>
                <w:sz w:val="20"/>
                <w:szCs w:val="20"/>
              </w:rPr>
              <w:t>804-786-1118 (Fax)</w:t>
            </w:r>
          </w:p>
        </w:tc>
      </w:tr>
      <w:tr w:rsidR="0019112F" w:rsidRPr="0019112F" w14:paraId="2EC2B65E" w14:textId="77777777" w:rsidTr="00FD2F2D">
        <w:trPr>
          <w:jc w:val="center"/>
        </w:trPr>
        <w:tc>
          <w:tcPr>
            <w:tcW w:w="2880" w:type="dxa"/>
          </w:tcPr>
          <w:p w14:paraId="3249EC74" w14:textId="77777777" w:rsidR="0019112F" w:rsidRPr="0019112F" w:rsidRDefault="0019112F" w:rsidP="0019112F">
            <w:pPr>
              <w:spacing w:line="200" w:lineRule="exact"/>
              <w:contextualSpacing/>
              <w:rPr>
                <w:rFonts w:ascii="Calibri" w:eastAsia="Calibri" w:hAnsi="Calibri"/>
                <w:i/>
                <w:color w:val="365F91"/>
                <w:sz w:val="20"/>
                <w:szCs w:val="20"/>
              </w:rPr>
            </w:pPr>
            <w:r w:rsidRPr="0019112F">
              <w:rPr>
                <w:rFonts w:ascii="Calibri" w:eastAsia="Calibri" w:hAnsi="Calibri"/>
                <w:i/>
                <w:color w:val="365F91"/>
                <w:sz w:val="20"/>
                <w:szCs w:val="20"/>
              </w:rPr>
              <w:t>Vice Chair</w:t>
            </w:r>
          </w:p>
        </w:tc>
        <w:tc>
          <w:tcPr>
            <w:tcW w:w="3330" w:type="dxa"/>
          </w:tcPr>
          <w:p w14:paraId="5900F235" w14:textId="77777777" w:rsidR="0019112F" w:rsidRPr="0019112F" w:rsidRDefault="0019112F" w:rsidP="0019112F">
            <w:pPr>
              <w:spacing w:line="200" w:lineRule="exact"/>
              <w:contextualSpacing/>
              <w:jc w:val="center"/>
              <w:rPr>
                <w:rFonts w:ascii="Calibri" w:eastAsia="Calibri" w:hAnsi="Calibri"/>
                <w:i/>
                <w:color w:val="365F91"/>
                <w:sz w:val="20"/>
                <w:szCs w:val="20"/>
              </w:rPr>
            </w:pPr>
          </w:p>
        </w:tc>
        <w:tc>
          <w:tcPr>
            <w:tcW w:w="3148" w:type="dxa"/>
          </w:tcPr>
          <w:p w14:paraId="1458D3D1" w14:textId="77777777" w:rsidR="0019112F" w:rsidRPr="0019112F" w:rsidRDefault="0019112F" w:rsidP="0019112F">
            <w:pPr>
              <w:spacing w:line="200" w:lineRule="exact"/>
              <w:contextualSpacing/>
              <w:jc w:val="right"/>
              <w:rPr>
                <w:rFonts w:ascii="Calibri" w:eastAsia="Calibri" w:hAnsi="Calibri"/>
                <w:color w:val="365F91"/>
                <w:sz w:val="20"/>
                <w:szCs w:val="20"/>
              </w:rPr>
            </w:pPr>
            <w:r w:rsidRPr="0019112F">
              <w:rPr>
                <w:rFonts w:ascii="Calibri" w:eastAsia="Calibri" w:hAnsi="Calibri"/>
                <w:color w:val="365F91"/>
                <w:sz w:val="20"/>
                <w:szCs w:val="20"/>
              </w:rPr>
              <w:t>info@vbpd.virginia.gov</w:t>
            </w:r>
          </w:p>
        </w:tc>
      </w:tr>
      <w:tr w:rsidR="0019112F" w:rsidRPr="0019112F" w14:paraId="7A96239A" w14:textId="77777777" w:rsidTr="00FD2F2D">
        <w:trPr>
          <w:jc w:val="center"/>
        </w:trPr>
        <w:tc>
          <w:tcPr>
            <w:tcW w:w="2880" w:type="dxa"/>
          </w:tcPr>
          <w:p w14:paraId="7EDB0BE3" w14:textId="77777777" w:rsidR="0019112F" w:rsidRPr="0019112F" w:rsidRDefault="0019112F" w:rsidP="0019112F">
            <w:pPr>
              <w:spacing w:line="200" w:lineRule="exact"/>
              <w:contextualSpacing/>
              <w:rPr>
                <w:rFonts w:ascii="Calibri" w:eastAsia="Calibri" w:hAnsi="Calibri"/>
                <w:b/>
                <w:color w:val="365F91"/>
                <w:sz w:val="20"/>
                <w:szCs w:val="20"/>
              </w:rPr>
            </w:pPr>
            <w:r w:rsidRPr="0019112F">
              <w:rPr>
                <w:rFonts w:ascii="Calibri" w:eastAsia="Calibri" w:hAnsi="Calibri"/>
                <w:b/>
                <w:color w:val="365F91"/>
                <w:sz w:val="20"/>
                <w:szCs w:val="20"/>
              </w:rPr>
              <w:t>Jamie Snead</w:t>
            </w:r>
          </w:p>
        </w:tc>
        <w:tc>
          <w:tcPr>
            <w:tcW w:w="3330" w:type="dxa"/>
          </w:tcPr>
          <w:p w14:paraId="3463F834" w14:textId="77777777" w:rsidR="0019112F" w:rsidRPr="0019112F" w:rsidRDefault="0019112F" w:rsidP="0019112F">
            <w:pPr>
              <w:spacing w:line="200" w:lineRule="exact"/>
              <w:contextualSpacing/>
              <w:jc w:val="center"/>
              <w:rPr>
                <w:rFonts w:ascii="Calibri" w:eastAsia="Calibri" w:hAnsi="Calibri"/>
                <w:i/>
                <w:color w:val="365F91"/>
                <w:sz w:val="20"/>
                <w:szCs w:val="20"/>
              </w:rPr>
            </w:pPr>
          </w:p>
        </w:tc>
        <w:tc>
          <w:tcPr>
            <w:tcW w:w="3148" w:type="dxa"/>
          </w:tcPr>
          <w:p w14:paraId="7A35BCBA" w14:textId="77777777" w:rsidR="0019112F" w:rsidRPr="0019112F" w:rsidRDefault="0019112F" w:rsidP="0019112F">
            <w:pPr>
              <w:spacing w:line="200" w:lineRule="exact"/>
              <w:contextualSpacing/>
              <w:jc w:val="right"/>
              <w:rPr>
                <w:rFonts w:ascii="Calibri" w:eastAsia="Calibri" w:hAnsi="Calibri"/>
                <w:color w:val="365F91"/>
                <w:sz w:val="20"/>
                <w:szCs w:val="20"/>
              </w:rPr>
            </w:pPr>
            <w:r w:rsidRPr="0019112F">
              <w:rPr>
                <w:rFonts w:ascii="Calibri" w:eastAsia="Calibri" w:hAnsi="Calibri"/>
                <w:color w:val="365F91"/>
                <w:sz w:val="20"/>
                <w:szCs w:val="20"/>
              </w:rPr>
              <w:t>www.vaboard.org</w:t>
            </w:r>
          </w:p>
        </w:tc>
      </w:tr>
      <w:tr w:rsidR="0019112F" w:rsidRPr="0019112F" w14:paraId="2EB0EC4B" w14:textId="77777777" w:rsidTr="00FD2F2D">
        <w:trPr>
          <w:jc w:val="center"/>
        </w:trPr>
        <w:tc>
          <w:tcPr>
            <w:tcW w:w="2880" w:type="dxa"/>
          </w:tcPr>
          <w:p w14:paraId="6CE0CAD8" w14:textId="77777777" w:rsidR="0019112F" w:rsidRPr="0019112F" w:rsidRDefault="0019112F" w:rsidP="0019112F">
            <w:pPr>
              <w:spacing w:line="200" w:lineRule="exact"/>
              <w:contextualSpacing/>
              <w:rPr>
                <w:rFonts w:ascii="Calibri" w:eastAsia="Calibri" w:hAnsi="Calibri"/>
                <w:i/>
                <w:color w:val="365F91"/>
                <w:sz w:val="20"/>
                <w:szCs w:val="20"/>
              </w:rPr>
            </w:pPr>
            <w:r w:rsidRPr="0019112F">
              <w:rPr>
                <w:rFonts w:ascii="Calibri" w:eastAsia="Calibri" w:hAnsi="Calibri"/>
                <w:i/>
                <w:color w:val="365F91"/>
                <w:sz w:val="20"/>
                <w:szCs w:val="20"/>
              </w:rPr>
              <w:t>Secretary</w:t>
            </w:r>
          </w:p>
        </w:tc>
        <w:tc>
          <w:tcPr>
            <w:tcW w:w="3330" w:type="dxa"/>
          </w:tcPr>
          <w:p w14:paraId="06D2C313" w14:textId="77777777" w:rsidR="0019112F" w:rsidRPr="0019112F" w:rsidRDefault="0019112F" w:rsidP="0019112F">
            <w:pPr>
              <w:spacing w:line="200" w:lineRule="exact"/>
              <w:contextualSpacing/>
              <w:jc w:val="center"/>
              <w:rPr>
                <w:rFonts w:ascii="Calibri" w:eastAsia="Calibri" w:hAnsi="Calibri"/>
                <w:i/>
                <w:color w:val="365F91"/>
                <w:sz w:val="20"/>
                <w:szCs w:val="20"/>
              </w:rPr>
            </w:pPr>
          </w:p>
        </w:tc>
        <w:tc>
          <w:tcPr>
            <w:tcW w:w="3148" w:type="dxa"/>
          </w:tcPr>
          <w:p w14:paraId="5E925417" w14:textId="77777777" w:rsidR="0019112F" w:rsidRPr="0019112F" w:rsidRDefault="0019112F" w:rsidP="0019112F">
            <w:pPr>
              <w:spacing w:line="200" w:lineRule="exact"/>
              <w:contextualSpacing/>
              <w:jc w:val="right"/>
              <w:rPr>
                <w:rFonts w:ascii="Calibri" w:eastAsia="Calibri" w:hAnsi="Calibri"/>
                <w:color w:val="365F91"/>
                <w:sz w:val="20"/>
                <w:szCs w:val="20"/>
              </w:rPr>
            </w:pPr>
          </w:p>
        </w:tc>
      </w:tr>
      <w:tr w:rsidR="0019112F" w:rsidRPr="0019112F" w14:paraId="674DE0E4" w14:textId="77777777" w:rsidTr="00FD2F2D">
        <w:trPr>
          <w:jc w:val="center"/>
        </w:trPr>
        <w:tc>
          <w:tcPr>
            <w:tcW w:w="2880" w:type="dxa"/>
          </w:tcPr>
          <w:p w14:paraId="5465CF56" w14:textId="77777777" w:rsidR="0019112F" w:rsidRPr="0019112F" w:rsidRDefault="0019112F" w:rsidP="0019112F">
            <w:pPr>
              <w:spacing w:line="200" w:lineRule="exact"/>
              <w:contextualSpacing/>
              <w:rPr>
                <w:rFonts w:ascii="Calibri" w:eastAsia="Calibri" w:hAnsi="Calibri"/>
                <w:b/>
                <w:color w:val="365F91"/>
                <w:sz w:val="20"/>
                <w:szCs w:val="20"/>
              </w:rPr>
            </w:pPr>
            <w:r w:rsidRPr="0019112F">
              <w:rPr>
                <w:rFonts w:ascii="Calibri" w:eastAsia="Calibri" w:hAnsi="Calibri"/>
                <w:b/>
                <w:color w:val="365F91"/>
                <w:sz w:val="20"/>
                <w:szCs w:val="20"/>
              </w:rPr>
              <w:t>Heidi L. Lawyer</w:t>
            </w:r>
          </w:p>
        </w:tc>
        <w:tc>
          <w:tcPr>
            <w:tcW w:w="3330" w:type="dxa"/>
          </w:tcPr>
          <w:p w14:paraId="60D00B21" w14:textId="77777777" w:rsidR="0019112F" w:rsidRPr="0019112F" w:rsidRDefault="0019112F" w:rsidP="0019112F">
            <w:pPr>
              <w:spacing w:line="200" w:lineRule="exact"/>
              <w:contextualSpacing/>
              <w:jc w:val="center"/>
              <w:rPr>
                <w:rFonts w:ascii="Calibri" w:eastAsia="Calibri" w:hAnsi="Calibri"/>
                <w:i/>
                <w:color w:val="365F91"/>
                <w:sz w:val="20"/>
                <w:szCs w:val="20"/>
              </w:rPr>
            </w:pPr>
          </w:p>
        </w:tc>
        <w:tc>
          <w:tcPr>
            <w:tcW w:w="3148" w:type="dxa"/>
          </w:tcPr>
          <w:p w14:paraId="2847D89E" w14:textId="77777777" w:rsidR="0019112F" w:rsidRPr="0019112F" w:rsidRDefault="0019112F" w:rsidP="0019112F">
            <w:pPr>
              <w:spacing w:line="200" w:lineRule="exact"/>
              <w:contextualSpacing/>
              <w:jc w:val="right"/>
              <w:rPr>
                <w:rFonts w:ascii="Calibri" w:eastAsia="Calibri" w:hAnsi="Calibri"/>
                <w:color w:val="365F91"/>
                <w:sz w:val="20"/>
                <w:szCs w:val="20"/>
              </w:rPr>
            </w:pPr>
          </w:p>
        </w:tc>
      </w:tr>
      <w:tr w:rsidR="0019112F" w:rsidRPr="0019112F" w14:paraId="1A5E820F" w14:textId="77777777" w:rsidTr="00FD2F2D">
        <w:trPr>
          <w:jc w:val="center"/>
        </w:trPr>
        <w:tc>
          <w:tcPr>
            <w:tcW w:w="2880" w:type="dxa"/>
          </w:tcPr>
          <w:p w14:paraId="31B96D36" w14:textId="77777777" w:rsidR="0019112F" w:rsidRPr="0019112F" w:rsidRDefault="0019112F" w:rsidP="0019112F">
            <w:pPr>
              <w:spacing w:line="200" w:lineRule="exact"/>
              <w:contextualSpacing/>
              <w:rPr>
                <w:rFonts w:ascii="Calibri" w:eastAsia="Calibri" w:hAnsi="Calibri"/>
                <w:i/>
                <w:color w:val="365F91"/>
                <w:sz w:val="20"/>
                <w:szCs w:val="20"/>
              </w:rPr>
            </w:pPr>
            <w:r w:rsidRPr="0019112F">
              <w:rPr>
                <w:rFonts w:ascii="Calibri" w:eastAsia="Calibri" w:hAnsi="Calibri"/>
                <w:i/>
                <w:color w:val="365F91"/>
                <w:sz w:val="20"/>
                <w:szCs w:val="20"/>
              </w:rPr>
              <w:t>Executive Director</w:t>
            </w:r>
          </w:p>
        </w:tc>
        <w:tc>
          <w:tcPr>
            <w:tcW w:w="3330" w:type="dxa"/>
          </w:tcPr>
          <w:p w14:paraId="319F770D" w14:textId="77777777" w:rsidR="0019112F" w:rsidRPr="0019112F" w:rsidRDefault="0019112F" w:rsidP="0019112F">
            <w:pPr>
              <w:spacing w:line="200" w:lineRule="exact"/>
              <w:contextualSpacing/>
              <w:jc w:val="center"/>
              <w:rPr>
                <w:rFonts w:ascii="Calibri" w:eastAsia="Calibri" w:hAnsi="Calibri"/>
                <w:i/>
                <w:color w:val="365F91"/>
                <w:sz w:val="20"/>
                <w:szCs w:val="20"/>
              </w:rPr>
            </w:pPr>
          </w:p>
        </w:tc>
        <w:tc>
          <w:tcPr>
            <w:tcW w:w="3148" w:type="dxa"/>
          </w:tcPr>
          <w:p w14:paraId="4DA6FDAC" w14:textId="77777777" w:rsidR="0019112F" w:rsidRPr="0019112F" w:rsidRDefault="0019112F" w:rsidP="0019112F">
            <w:pPr>
              <w:spacing w:line="200" w:lineRule="exact"/>
              <w:contextualSpacing/>
              <w:jc w:val="right"/>
              <w:rPr>
                <w:rFonts w:ascii="Calibri" w:eastAsia="Calibri" w:hAnsi="Calibri"/>
                <w:color w:val="365F91"/>
                <w:sz w:val="20"/>
                <w:szCs w:val="20"/>
              </w:rPr>
            </w:pPr>
          </w:p>
        </w:tc>
      </w:tr>
    </w:tbl>
    <w:p w14:paraId="1DE0A4C0" w14:textId="77777777" w:rsidR="003E0EDA" w:rsidRPr="00F01A12" w:rsidRDefault="003E0EDA" w:rsidP="003E0EDA">
      <w:pPr>
        <w:autoSpaceDE w:val="0"/>
        <w:autoSpaceDN w:val="0"/>
        <w:adjustRightInd w:val="0"/>
        <w:rPr>
          <w:rFonts w:cs="Calibri"/>
          <w:bCs/>
          <w:color w:val="000000"/>
        </w:rPr>
      </w:pPr>
    </w:p>
    <w:p w14:paraId="4E1D1757" w14:textId="519A13DF" w:rsidR="003E0EDA" w:rsidRPr="003E0EDA" w:rsidRDefault="0003503E" w:rsidP="003E0EDA">
      <w:pPr>
        <w:autoSpaceDE w:val="0"/>
        <w:autoSpaceDN w:val="0"/>
        <w:adjustRightInd w:val="0"/>
        <w:jc w:val="center"/>
        <w:rPr>
          <w:rFonts w:ascii="Calibri" w:hAnsi="Calibri" w:cs="Calibri"/>
          <w:bCs/>
          <w:color w:val="000000"/>
        </w:rPr>
      </w:pPr>
      <w:r>
        <w:rPr>
          <w:rFonts w:ascii="Calibri" w:hAnsi="Calibri" w:cs="Calibri"/>
          <w:bCs/>
          <w:color w:val="000000"/>
        </w:rPr>
        <w:t xml:space="preserve">September </w:t>
      </w:r>
      <w:r w:rsidRPr="00294DCA">
        <w:rPr>
          <w:rFonts w:ascii="Calibri" w:hAnsi="Calibri" w:cs="Calibri"/>
          <w:bCs/>
          <w:color w:val="000000"/>
        </w:rPr>
        <w:t>19</w:t>
      </w:r>
      <w:r>
        <w:rPr>
          <w:rFonts w:ascii="Calibri" w:hAnsi="Calibri" w:cs="Calibri"/>
          <w:bCs/>
          <w:color w:val="000000"/>
        </w:rPr>
        <w:t>, 2018</w:t>
      </w:r>
    </w:p>
    <w:p w14:paraId="4D154A48" w14:textId="77777777" w:rsidR="003E0EDA" w:rsidRPr="003E0EDA" w:rsidRDefault="003E0EDA" w:rsidP="003E0EDA">
      <w:pPr>
        <w:autoSpaceDE w:val="0"/>
        <w:autoSpaceDN w:val="0"/>
        <w:adjustRightInd w:val="0"/>
        <w:jc w:val="center"/>
        <w:rPr>
          <w:rFonts w:ascii="Calibri" w:hAnsi="Calibri" w:cs="Calibri"/>
          <w:bCs/>
          <w:color w:val="000000"/>
        </w:rPr>
      </w:pPr>
    </w:p>
    <w:p w14:paraId="44CF98A7" w14:textId="77777777" w:rsidR="003E0EDA" w:rsidRPr="003E0EDA" w:rsidRDefault="003E0EDA" w:rsidP="003E0EDA">
      <w:pPr>
        <w:autoSpaceDE w:val="0"/>
        <w:autoSpaceDN w:val="0"/>
        <w:adjustRightInd w:val="0"/>
        <w:jc w:val="center"/>
        <w:rPr>
          <w:rFonts w:ascii="Calibri" w:hAnsi="Calibri" w:cs="Calibri"/>
          <w:bCs/>
          <w:color w:val="000000"/>
        </w:rPr>
      </w:pPr>
    </w:p>
    <w:p w14:paraId="6B20191B" w14:textId="62153211" w:rsidR="003E0EDA" w:rsidRPr="003024F6" w:rsidRDefault="003E0EDA" w:rsidP="00015361">
      <w:pPr>
        <w:ind w:left="720"/>
        <w:rPr>
          <w:rFonts w:ascii="Calibri" w:hAnsi="Calibri" w:cs="Calibri"/>
          <w:bCs/>
          <w:color w:val="000000"/>
        </w:rPr>
      </w:pPr>
      <w:r w:rsidRPr="003E0EDA">
        <w:rPr>
          <w:rFonts w:ascii="Calibri" w:hAnsi="Calibri" w:cs="Calibri"/>
          <w:bCs/>
          <w:color w:val="000000"/>
        </w:rPr>
        <w:t xml:space="preserve">TO: </w:t>
      </w:r>
      <w:r w:rsidRPr="003E0EDA">
        <w:rPr>
          <w:rFonts w:ascii="Calibri" w:hAnsi="Calibri" w:cs="Calibri"/>
          <w:bCs/>
          <w:color w:val="000000"/>
        </w:rPr>
        <w:tab/>
      </w:r>
      <w:r w:rsidRPr="003E0EDA">
        <w:rPr>
          <w:rFonts w:ascii="Calibri" w:hAnsi="Calibri" w:cs="Calibri"/>
          <w:bCs/>
          <w:color w:val="000000"/>
        </w:rPr>
        <w:tab/>
      </w:r>
      <w:r w:rsidRPr="003024F6">
        <w:rPr>
          <w:rFonts w:ascii="Calibri" w:hAnsi="Calibri" w:cs="Calibri"/>
          <w:bCs/>
          <w:color w:val="000000"/>
        </w:rPr>
        <w:t xml:space="preserve">Tammy </w:t>
      </w:r>
      <w:r w:rsidR="00314D1B" w:rsidRPr="003024F6">
        <w:rPr>
          <w:rFonts w:ascii="Calibri" w:hAnsi="Calibri" w:cs="Calibri"/>
          <w:bCs/>
          <w:color w:val="000000"/>
        </w:rPr>
        <w:t>Whitlock</w:t>
      </w:r>
    </w:p>
    <w:p w14:paraId="497003DD" w14:textId="6F4759AA" w:rsidR="003E0EDA" w:rsidRPr="003024F6" w:rsidRDefault="003E0EDA" w:rsidP="00015361">
      <w:pPr>
        <w:ind w:left="720"/>
        <w:rPr>
          <w:rFonts w:ascii="Calibri" w:hAnsi="Calibri" w:cs="Calibri"/>
          <w:bCs/>
          <w:color w:val="000000"/>
        </w:rPr>
      </w:pPr>
      <w:r w:rsidRPr="003024F6">
        <w:rPr>
          <w:rFonts w:ascii="Calibri" w:hAnsi="Calibri" w:cs="Calibri"/>
          <w:bCs/>
          <w:color w:val="000000"/>
        </w:rPr>
        <w:tab/>
      </w:r>
      <w:r w:rsidRPr="003024F6">
        <w:rPr>
          <w:rFonts w:ascii="Calibri" w:hAnsi="Calibri" w:cs="Calibri"/>
          <w:bCs/>
          <w:color w:val="000000"/>
        </w:rPr>
        <w:tab/>
      </w:r>
      <w:r w:rsidR="00314D1B" w:rsidRPr="003024F6">
        <w:rPr>
          <w:rFonts w:ascii="Calibri" w:hAnsi="Calibri" w:cs="Calibri"/>
          <w:bCs/>
          <w:color w:val="000000"/>
        </w:rPr>
        <w:t>Deputy Director for</w:t>
      </w:r>
      <w:r w:rsidRPr="003024F6">
        <w:rPr>
          <w:rFonts w:ascii="Calibri" w:hAnsi="Calibri" w:cs="Calibri"/>
          <w:bCs/>
          <w:color w:val="000000"/>
        </w:rPr>
        <w:t xml:space="preserve"> Complex Care and Services</w:t>
      </w:r>
    </w:p>
    <w:p w14:paraId="69511438" w14:textId="77777777" w:rsidR="003E0EDA" w:rsidRPr="003E0EDA" w:rsidRDefault="003E0EDA" w:rsidP="00015361">
      <w:pPr>
        <w:ind w:left="1440" w:firstLine="720"/>
        <w:rPr>
          <w:rFonts w:ascii="Calibri" w:hAnsi="Calibri" w:cs="Calibri"/>
        </w:rPr>
      </w:pPr>
      <w:r w:rsidRPr="003024F6">
        <w:rPr>
          <w:rFonts w:ascii="Calibri" w:hAnsi="Calibri" w:cs="Calibri"/>
        </w:rPr>
        <w:t>Virginia Department of Medical Assistance Services</w:t>
      </w:r>
    </w:p>
    <w:p w14:paraId="66818780" w14:textId="77777777" w:rsidR="003E0EDA" w:rsidRPr="003E0EDA" w:rsidRDefault="003E0EDA" w:rsidP="00015361">
      <w:pPr>
        <w:autoSpaceDE w:val="0"/>
        <w:autoSpaceDN w:val="0"/>
        <w:adjustRightInd w:val="0"/>
        <w:ind w:left="720"/>
        <w:rPr>
          <w:rFonts w:ascii="Calibri" w:hAnsi="Calibri" w:cs="Calibri"/>
          <w:bCs/>
          <w:color w:val="000000"/>
        </w:rPr>
      </w:pPr>
      <w:r w:rsidRPr="003E0EDA">
        <w:rPr>
          <w:rFonts w:ascii="Calibri" w:hAnsi="Calibri" w:cs="Calibri"/>
          <w:bCs/>
          <w:color w:val="000000"/>
        </w:rPr>
        <w:t>FROM:</w:t>
      </w:r>
      <w:r w:rsidRPr="003E0EDA">
        <w:rPr>
          <w:rFonts w:ascii="Calibri" w:hAnsi="Calibri" w:cs="Calibri"/>
          <w:bCs/>
          <w:color w:val="000000"/>
        </w:rPr>
        <w:tab/>
      </w:r>
      <w:r w:rsidRPr="003E0EDA">
        <w:rPr>
          <w:rFonts w:ascii="Calibri" w:hAnsi="Calibri" w:cs="Calibri"/>
          <w:bCs/>
          <w:color w:val="000000"/>
        </w:rPr>
        <w:tab/>
        <w:t xml:space="preserve">Heidi L. Lawyer </w:t>
      </w:r>
      <w:r w:rsidRPr="003E0EDA">
        <w:rPr>
          <w:rFonts w:ascii="Calibri" w:hAnsi="Calibri" w:cs="Calibri"/>
          <w:bCs/>
          <w:noProof/>
          <w:color w:val="000000"/>
        </w:rPr>
        <w:drawing>
          <wp:inline distT="0" distB="0" distL="0" distR="0" wp14:anchorId="5223321E" wp14:editId="13E0572E">
            <wp:extent cx="1045908" cy="438150"/>
            <wp:effectExtent l="0" t="0" r="1905" b="0"/>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i_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971" cy="438595"/>
                    </a:xfrm>
                    <a:prstGeom prst="rect">
                      <a:avLst/>
                    </a:prstGeom>
                  </pic:spPr>
                </pic:pic>
              </a:graphicData>
            </a:graphic>
          </wp:inline>
        </w:drawing>
      </w:r>
    </w:p>
    <w:p w14:paraId="12382D91" w14:textId="77777777" w:rsidR="003E0EDA" w:rsidRPr="003E0EDA" w:rsidRDefault="003E0EDA" w:rsidP="00015361">
      <w:pPr>
        <w:autoSpaceDE w:val="0"/>
        <w:autoSpaceDN w:val="0"/>
        <w:adjustRightInd w:val="0"/>
        <w:ind w:left="720"/>
        <w:rPr>
          <w:rFonts w:ascii="Calibri" w:hAnsi="Calibri" w:cs="Calibri"/>
          <w:bCs/>
          <w:color w:val="000000"/>
        </w:rPr>
      </w:pPr>
      <w:r w:rsidRPr="003E0EDA">
        <w:rPr>
          <w:rFonts w:ascii="Calibri" w:hAnsi="Calibri" w:cs="Calibri"/>
          <w:bCs/>
          <w:color w:val="000000"/>
        </w:rPr>
        <w:tab/>
      </w:r>
    </w:p>
    <w:p w14:paraId="1038D504" w14:textId="751E65A5" w:rsidR="003E0EDA" w:rsidRPr="003E0EDA" w:rsidRDefault="003E0EDA" w:rsidP="00015361">
      <w:pPr>
        <w:autoSpaceDE w:val="0"/>
        <w:autoSpaceDN w:val="0"/>
        <w:adjustRightInd w:val="0"/>
        <w:ind w:left="1440" w:hanging="720"/>
        <w:rPr>
          <w:rFonts w:ascii="Calibri" w:hAnsi="Calibri" w:cs="Calibri"/>
          <w:bCs/>
          <w:color w:val="000000"/>
        </w:rPr>
      </w:pPr>
      <w:r w:rsidRPr="003E0EDA">
        <w:rPr>
          <w:rFonts w:ascii="Calibri" w:hAnsi="Calibri" w:cs="Calibri"/>
          <w:bCs/>
          <w:color w:val="000000"/>
        </w:rPr>
        <w:t xml:space="preserve">RE: </w:t>
      </w:r>
      <w:r w:rsidRPr="003E0EDA">
        <w:rPr>
          <w:rFonts w:ascii="Calibri" w:hAnsi="Calibri" w:cs="Calibri"/>
          <w:bCs/>
          <w:color w:val="000000"/>
        </w:rPr>
        <w:tab/>
      </w:r>
      <w:r w:rsidRPr="003E0EDA">
        <w:rPr>
          <w:rFonts w:ascii="Calibri" w:hAnsi="Calibri" w:cs="Calibri"/>
          <w:bCs/>
          <w:color w:val="000000"/>
        </w:rPr>
        <w:tab/>
      </w:r>
      <w:r w:rsidR="004019CE">
        <w:rPr>
          <w:rFonts w:ascii="Calibri" w:hAnsi="Calibri" w:cs="Calibri"/>
          <w:bCs/>
          <w:color w:val="000000"/>
        </w:rPr>
        <w:t xml:space="preserve">Round 1 </w:t>
      </w:r>
      <w:r w:rsidRPr="003E0EDA">
        <w:rPr>
          <w:rFonts w:ascii="Calibri" w:hAnsi="Calibri" w:cs="Calibri"/>
          <w:bCs/>
          <w:color w:val="000000"/>
        </w:rPr>
        <w:t>C</w:t>
      </w:r>
      <w:r w:rsidR="00B85E59">
        <w:rPr>
          <w:rFonts w:ascii="Calibri" w:hAnsi="Calibri" w:cs="Calibri"/>
          <w:bCs/>
          <w:color w:val="000000"/>
        </w:rPr>
        <w:t>ontract Changes</w:t>
      </w:r>
      <w:r w:rsidR="004019CE">
        <w:rPr>
          <w:rFonts w:ascii="Calibri" w:hAnsi="Calibri" w:cs="Calibri"/>
          <w:bCs/>
          <w:color w:val="000000"/>
        </w:rPr>
        <w:t xml:space="preserve"> for January</w:t>
      </w:r>
      <w:r w:rsidRPr="003E0EDA">
        <w:rPr>
          <w:rFonts w:ascii="Calibri" w:hAnsi="Calibri" w:cs="Calibri"/>
          <w:bCs/>
          <w:color w:val="000000"/>
        </w:rPr>
        <w:t xml:space="preserve"> </w:t>
      </w:r>
      <w:r w:rsidR="004019CE">
        <w:rPr>
          <w:rFonts w:ascii="Calibri" w:hAnsi="Calibri" w:cs="Calibri"/>
          <w:bCs/>
          <w:color w:val="000000"/>
        </w:rPr>
        <w:t>2019</w:t>
      </w:r>
      <w:r w:rsidRPr="003E0EDA">
        <w:rPr>
          <w:rFonts w:ascii="Calibri" w:hAnsi="Calibri" w:cs="Calibri"/>
          <w:bCs/>
          <w:color w:val="000000"/>
        </w:rPr>
        <w:t xml:space="preserve"> CCC Plus Contract</w:t>
      </w:r>
      <w:r w:rsidRPr="003E0EDA">
        <w:rPr>
          <w:rFonts w:ascii="Calibri" w:hAnsi="Calibri" w:cs="Calibri"/>
          <w:bCs/>
          <w:smallCaps/>
          <w:lang w:val="en"/>
        </w:rPr>
        <w:t xml:space="preserve"> </w:t>
      </w:r>
    </w:p>
    <w:p w14:paraId="6F50BCE9" w14:textId="77777777" w:rsidR="003E0EDA" w:rsidRPr="003E0EDA" w:rsidRDefault="003E0EDA" w:rsidP="00015361">
      <w:pPr>
        <w:ind w:left="720"/>
        <w:rPr>
          <w:rFonts w:ascii="Calibri" w:hAnsi="Calibri" w:cs="Calibri"/>
        </w:rPr>
      </w:pPr>
    </w:p>
    <w:p w14:paraId="244D8698" w14:textId="6AD64E46" w:rsidR="00300B44" w:rsidRDefault="00BB409E" w:rsidP="00015361">
      <w:pPr>
        <w:spacing w:after="200"/>
        <w:ind w:left="720" w:firstLine="720"/>
        <w:rPr>
          <w:rFonts w:ascii="Calibri" w:eastAsia="Calibri" w:hAnsi="Calibri"/>
          <w:szCs w:val="22"/>
        </w:rPr>
      </w:pPr>
      <w:r>
        <w:rPr>
          <w:rFonts w:ascii="Calibri" w:eastAsia="Calibri" w:hAnsi="Calibri"/>
          <w:szCs w:val="22"/>
        </w:rPr>
        <w:t xml:space="preserve">The Virginia Board for People with Disabilities, Virginia’s Developmental Disabilities Council greatly appreciates the opportunity to provide input on the </w:t>
      </w:r>
      <w:r w:rsidR="00137B56">
        <w:rPr>
          <w:rFonts w:ascii="Calibri" w:eastAsia="Calibri" w:hAnsi="Calibri"/>
          <w:szCs w:val="22"/>
        </w:rPr>
        <w:t>round one</w:t>
      </w:r>
      <w:r w:rsidR="002D2B4C">
        <w:rPr>
          <w:rFonts w:ascii="Calibri" w:eastAsia="Calibri" w:hAnsi="Calibri"/>
          <w:szCs w:val="22"/>
        </w:rPr>
        <w:t xml:space="preserve"> </w:t>
      </w:r>
      <w:r w:rsidR="00875DC0">
        <w:rPr>
          <w:rFonts w:ascii="Calibri" w:eastAsia="Calibri" w:hAnsi="Calibri"/>
          <w:szCs w:val="22"/>
        </w:rPr>
        <w:t>contract changes</w:t>
      </w:r>
      <w:r w:rsidR="00300B44" w:rsidRPr="00300B44">
        <w:rPr>
          <w:rFonts w:ascii="Calibri" w:eastAsia="Calibri" w:hAnsi="Calibri"/>
          <w:szCs w:val="22"/>
        </w:rPr>
        <w:t xml:space="preserve"> </w:t>
      </w:r>
      <w:r w:rsidR="002D2B4C">
        <w:rPr>
          <w:rFonts w:ascii="Calibri" w:eastAsia="Calibri" w:hAnsi="Calibri"/>
          <w:szCs w:val="22"/>
        </w:rPr>
        <w:t>for the January 2019</w:t>
      </w:r>
      <w:r>
        <w:rPr>
          <w:rFonts w:ascii="Calibri" w:eastAsia="Calibri" w:hAnsi="Calibri"/>
          <w:szCs w:val="22"/>
        </w:rPr>
        <w:t xml:space="preserve"> CCC Plus Contract. The contract is an </w:t>
      </w:r>
      <w:r w:rsidR="00300B44" w:rsidRPr="00300B44">
        <w:rPr>
          <w:rFonts w:ascii="Calibri" w:eastAsia="Calibri" w:hAnsi="Calibri"/>
          <w:szCs w:val="22"/>
        </w:rPr>
        <w:t xml:space="preserve">important accountability mechanism for a </w:t>
      </w:r>
      <w:r w:rsidR="009D1C2E" w:rsidRPr="00300B44">
        <w:rPr>
          <w:rFonts w:ascii="Calibri" w:eastAsia="Calibri" w:hAnsi="Calibri"/>
          <w:szCs w:val="22"/>
        </w:rPr>
        <w:t>program that</w:t>
      </w:r>
      <w:r w:rsidR="00300B44" w:rsidRPr="00300B44">
        <w:rPr>
          <w:rFonts w:ascii="Calibri" w:eastAsia="Calibri" w:hAnsi="Calibri"/>
          <w:szCs w:val="22"/>
        </w:rPr>
        <w:t xml:space="preserve"> provides vital services to thousands of Virginians with disabilities. </w:t>
      </w:r>
    </w:p>
    <w:p w14:paraId="46A70205" w14:textId="52063A0D" w:rsidR="003E0EDA" w:rsidRDefault="00FE5778" w:rsidP="00015361">
      <w:pPr>
        <w:spacing w:after="200"/>
        <w:ind w:left="720" w:firstLine="720"/>
        <w:rPr>
          <w:rFonts w:ascii="Calibri" w:eastAsia="Calibri" w:hAnsi="Calibri"/>
          <w:szCs w:val="22"/>
        </w:rPr>
      </w:pPr>
      <w:r>
        <w:rPr>
          <w:rFonts w:ascii="Calibri" w:eastAsia="Calibri" w:hAnsi="Calibri"/>
          <w:szCs w:val="22"/>
        </w:rPr>
        <w:t xml:space="preserve">The Board believes </w:t>
      </w:r>
      <w:r w:rsidR="00FF1BB2">
        <w:rPr>
          <w:rFonts w:ascii="Calibri" w:eastAsia="Calibri" w:hAnsi="Calibri"/>
          <w:szCs w:val="22"/>
        </w:rPr>
        <w:t xml:space="preserve">that </w:t>
      </w:r>
      <w:r>
        <w:rPr>
          <w:rFonts w:ascii="Calibri" w:eastAsia="Calibri" w:hAnsi="Calibri"/>
          <w:szCs w:val="22"/>
        </w:rPr>
        <w:t xml:space="preserve">several contract provisions, including </w:t>
      </w:r>
      <w:r w:rsidR="00032A30">
        <w:rPr>
          <w:rFonts w:ascii="Calibri" w:eastAsia="Calibri" w:hAnsi="Calibri"/>
          <w:szCs w:val="22"/>
        </w:rPr>
        <w:t>many</w:t>
      </w:r>
      <w:r w:rsidR="0036643D">
        <w:rPr>
          <w:rFonts w:ascii="Calibri" w:eastAsia="Calibri" w:hAnsi="Calibri"/>
          <w:szCs w:val="22"/>
        </w:rPr>
        <w:t xml:space="preserve"> </w:t>
      </w:r>
      <w:r>
        <w:rPr>
          <w:rFonts w:ascii="Calibri" w:eastAsia="Calibri" w:hAnsi="Calibri"/>
          <w:szCs w:val="22"/>
        </w:rPr>
        <w:t>related to transportation, should be further strengthened</w:t>
      </w:r>
      <w:r w:rsidR="00A900FD">
        <w:rPr>
          <w:rFonts w:ascii="Calibri" w:eastAsia="Calibri" w:hAnsi="Calibri"/>
          <w:szCs w:val="22"/>
        </w:rPr>
        <w:t xml:space="preserve"> per the recommendations</w:t>
      </w:r>
      <w:r w:rsidR="00FE2F6E">
        <w:rPr>
          <w:rFonts w:ascii="Calibri" w:eastAsia="Calibri" w:hAnsi="Calibri"/>
          <w:szCs w:val="22"/>
        </w:rPr>
        <w:t xml:space="preserve"> on the following pages</w:t>
      </w:r>
      <w:r>
        <w:rPr>
          <w:rFonts w:ascii="Calibri" w:eastAsia="Calibri" w:hAnsi="Calibri"/>
          <w:szCs w:val="22"/>
        </w:rPr>
        <w:t xml:space="preserve">. </w:t>
      </w:r>
      <w:r w:rsidR="00FF1BB2">
        <w:rPr>
          <w:rFonts w:ascii="Calibri" w:eastAsia="Calibri" w:hAnsi="Calibri"/>
          <w:szCs w:val="22"/>
        </w:rPr>
        <w:t xml:space="preserve"> We believe there are</w:t>
      </w:r>
      <w:r w:rsidRPr="00FE5778">
        <w:rPr>
          <w:rFonts w:ascii="Calibri" w:eastAsia="Calibri" w:hAnsi="Calibri"/>
          <w:szCs w:val="22"/>
        </w:rPr>
        <w:t xml:space="preserve"> opportunities to better ensure that </w:t>
      </w:r>
      <w:r w:rsidRPr="00272E52">
        <w:rPr>
          <w:rFonts w:ascii="Calibri" w:eastAsia="Calibri" w:hAnsi="Calibri"/>
          <w:szCs w:val="22"/>
        </w:rPr>
        <w:t>(</w:t>
      </w:r>
      <w:r w:rsidR="00FF1BB2">
        <w:rPr>
          <w:rFonts w:ascii="Calibri" w:eastAsia="Calibri" w:hAnsi="Calibri"/>
          <w:szCs w:val="22"/>
        </w:rPr>
        <w:t>1</w:t>
      </w:r>
      <w:r w:rsidRPr="00272E52">
        <w:rPr>
          <w:rFonts w:ascii="Calibri" w:eastAsia="Calibri" w:hAnsi="Calibri"/>
          <w:szCs w:val="22"/>
        </w:rPr>
        <w:t xml:space="preserve">) members are informed of, and given the opportunity to exercise, their rights including choice of setting, choice of care model, and ability to request accommodations; </w:t>
      </w:r>
      <w:r w:rsidRPr="0029095A">
        <w:rPr>
          <w:rFonts w:ascii="Calibri" w:eastAsia="Calibri" w:hAnsi="Calibri"/>
          <w:szCs w:val="22"/>
        </w:rPr>
        <w:t>(</w:t>
      </w:r>
      <w:r w:rsidR="00FF1BB2">
        <w:rPr>
          <w:rFonts w:ascii="Calibri" w:eastAsia="Calibri" w:hAnsi="Calibri"/>
          <w:szCs w:val="22"/>
        </w:rPr>
        <w:t>2</w:t>
      </w:r>
      <w:r w:rsidRPr="0029095A">
        <w:rPr>
          <w:rFonts w:ascii="Calibri" w:eastAsia="Calibri" w:hAnsi="Calibri"/>
          <w:szCs w:val="22"/>
        </w:rPr>
        <w:t xml:space="preserve">) members can access and receive high-quality services; </w:t>
      </w:r>
      <w:r w:rsidRPr="007B6C0B">
        <w:rPr>
          <w:rFonts w:ascii="Calibri" w:eastAsia="Calibri" w:hAnsi="Calibri"/>
          <w:szCs w:val="22"/>
        </w:rPr>
        <w:t>(</w:t>
      </w:r>
      <w:r w:rsidR="00FF1BB2">
        <w:rPr>
          <w:rFonts w:ascii="Calibri" w:eastAsia="Calibri" w:hAnsi="Calibri"/>
          <w:szCs w:val="22"/>
        </w:rPr>
        <w:t>3</w:t>
      </w:r>
      <w:r w:rsidRPr="007B6C0B">
        <w:rPr>
          <w:rFonts w:ascii="Calibri" w:eastAsia="Calibri" w:hAnsi="Calibri"/>
          <w:szCs w:val="22"/>
        </w:rPr>
        <w:t xml:space="preserve">) program requirements </w:t>
      </w:r>
      <w:proofErr w:type="gramStart"/>
      <w:r w:rsidRPr="007B6C0B">
        <w:rPr>
          <w:rFonts w:ascii="Calibri" w:eastAsia="Calibri" w:hAnsi="Calibri"/>
          <w:szCs w:val="22"/>
        </w:rPr>
        <w:t>are</w:t>
      </w:r>
      <w:proofErr w:type="gramEnd"/>
      <w:r w:rsidRPr="007B6C0B">
        <w:rPr>
          <w:rFonts w:ascii="Calibri" w:eastAsia="Calibri" w:hAnsi="Calibri"/>
          <w:szCs w:val="22"/>
        </w:rPr>
        <w:t xml:space="preserve"> clear and up-to-date; (</w:t>
      </w:r>
      <w:r w:rsidR="00FF1BB2">
        <w:rPr>
          <w:rFonts w:ascii="Calibri" w:eastAsia="Calibri" w:hAnsi="Calibri"/>
          <w:szCs w:val="22"/>
        </w:rPr>
        <w:t>4</w:t>
      </w:r>
      <w:r w:rsidRPr="007B6C0B">
        <w:rPr>
          <w:rFonts w:ascii="Calibri" w:eastAsia="Calibri" w:hAnsi="Calibri"/>
          <w:szCs w:val="22"/>
        </w:rPr>
        <w:t>) program requirements</w:t>
      </w:r>
      <w:r w:rsidR="00D67B0B">
        <w:rPr>
          <w:rFonts w:ascii="Calibri" w:eastAsia="Calibri" w:hAnsi="Calibri"/>
          <w:szCs w:val="22"/>
        </w:rPr>
        <w:t xml:space="preserve"> are effectively enforced</w:t>
      </w:r>
      <w:r w:rsidRPr="007B6C0B">
        <w:rPr>
          <w:rFonts w:ascii="Calibri" w:eastAsia="Calibri" w:hAnsi="Calibri"/>
          <w:szCs w:val="22"/>
        </w:rPr>
        <w:t xml:space="preserve"> through adequate data collection, data analysis, and sanctions; </w:t>
      </w:r>
      <w:r w:rsidRPr="00E03D48">
        <w:rPr>
          <w:rFonts w:ascii="Calibri" w:eastAsia="Calibri" w:hAnsi="Calibri"/>
          <w:szCs w:val="22"/>
        </w:rPr>
        <w:t>and (</w:t>
      </w:r>
      <w:r w:rsidR="00FF1BB2">
        <w:rPr>
          <w:rFonts w:ascii="Calibri" w:eastAsia="Calibri" w:hAnsi="Calibri"/>
          <w:szCs w:val="22"/>
        </w:rPr>
        <w:t>5</w:t>
      </w:r>
      <w:r w:rsidRPr="00E03D48">
        <w:rPr>
          <w:rFonts w:ascii="Calibri" w:eastAsia="Calibri" w:hAnsi="Calibri"/>
          <w:szCs w:val="22"/>
        </w:rPr>
        <w:t>) references to individuals with disabilities are culturally competent</w:t>
      </w:r>
      <w:r w:rsidR="00E03D48" w:rsidRPr="00E03D48">
        <w:rPr>
          <w:rFonts w:ascii="Calibri" w:eastAsia="Calibri" w:hAnsi="Calibri"/>
          <w:szCs w:val="22"/>
        </w:rPr>
        <w:t>.</w:t>
      </w:r>
      <w:r w:rsidR="002F7CE0">
        <w:rPr>
          <w:rFonts w:ascii="Calibri" w:eastAsia="Calibri" w:hAnsi="Calibri"/>
          <w:szCs w:val="22"/>
        </w:rPr>
        <w:t xml:space="preserve"> </w:t>
      </w:r>
      <w:r w:rsidR="002F7CE0" w:rsidRPr="007A7E77">
        <w:rPr>
          <w:rFonts w:ascii="Calibri" w:eastAsia="Calibri" w:hAnsi="Calibri"/>
          <w:szCs w:val="22"/>
        </w:rPr>
        <w:t>These changes would</w:t>
      </w:r>
      <w:r w:rsidR="00300B44" w:rsidRPr="00300B44">
        <w:rPr>
          <w:rFonts w:ascii="Calibri" w:eastAsia="Calibri" w:hAnsi="Calibri"/>
          <w:szCs w:val="22"/>
        </w:rPr>
        <w:t xml:space="preserve"> greatly improve</w:t>
      </w:r>
      <w:r w:rsidR="00572102" w:rsidRPr="007A7E77">
        <w:rPr>
          <w:rFonts w:ascii="Calibri" w:eastAsia="Calibri" w:hAnsi="Calibri"/>
          <w:szCs w:val="22"/>
        </w:rPr>
        <w:t xml:space="preserve"> </w:t>
      </w:r>
      <w:r w:rsidR="0080686F">
        <w:rPr>
          <w:rFonts w:ascii="Calibri" w:eastAsia="Calibri" w:hAnsi="Calibri"/>
          <w:szCs w:val="22"/>
        </w:rPr>
        <w:t xml:space="preserve">the provision of health care </w:t>
      </w:r>
      <w:r w:rsidR="00572102" w:rsidRPr="007A7E77">
        <w:rPr>
          <w:rFonts w:ascii="Calibri" w:eastAsia="Calibri" w:hAnsi="Calibri"/>
          <w:szCs w:val="22"/>
        </w:rPr>
        <w:t>services for people with disabilities</w:t>
      </w:r>
      <w:r w:rsidR="004C622C">
        <w:rPr>
          <w:rFonts w:ascii="Calibri" w:eastAsia="Calibri" w:hAnsi="Calibri"/>
          <w:szCs w:val="22"/>
        </w:rPr>
        <w:t xml:space="preserve">, </w:t>
      </w:r>
      <w:r w:rsidR="007C07B5">
        <w:rPr>
          <w:rFonts w:ascii="Calibri" w:eastAsia="Calibri" w:hAnsi="Calibri"/>
          <w:szCs w:val="22"/>
        </w:rPr>
        <w:t xml:space="preserve">and </w:t>
      </w:r>
      <w:r w:rsidR="006B6844">
        <w:rPr>
          <w:rFonts w:ascii="Calibri" w:eastAsia="Calibri" w:hAnsi="Calibri"/>
          <w:szCs w:val="22"/>
        </w:rPr>
        <w:t xml:space="preserve">thus </w:t>
      </w:r>
      <w:r w:rsidR="007C07B5">
        <w:rPr>
          <w:rFonts w:ascii="Calibri" w:eastAsia="Calibri" w:hAnsi="Calibri"/>
          <w:szCs w:val="22"/>
        </w:rPr>
        <w:t>better enable</w:t>
      </w:r>
      <w:r w:rsidR="004C622C">
        <w:rPr>
          <w:rFonts w:ascii="Calibri" w:eastAsia="Calibri" w:hAnsi="Calibri"/>
          <w:szCs w:val="22"/>
        </w:rPr>
        <w:t xml:space="preserve"> them to </w:t>
      </w:r>
      <w:r w:rsidR="00A839B2">
        <w:rPr>
          <w:rFonts w:ascii="Calibri" w:eastAsia="Calibri" w:hAnsi="Calibri"/>
          <w:szCs w:val="22"/>
        </w:rPr>
        <w:t>participate in community life</w:t>
      </w:r>
      <w:r w:rsidR="00300B44" w:rsidRPr="00300B44">
        <w:rPr>
          <w:rFonts w:ascii="Calibri" w:eastAsia="Calibri" w:hAnsi="Calibri"/>
          <w:szCs w:val="22"/>
        </w:rPr>
        <w:t xml:space="preserve">. </w:t>
      </w:r>
    </w:p>
    <w:p w14:paraId="02160F6C" w14:textId="3068AFEC" w:rsidR="00015361" w:rsidRDefault="00015361" w:rsidP="00015361">
      <w:pPr>
        <w:spacing w:after="200"/>
        <w:ind w:left="720" w:firstLine="720"/>
        <w:rPr>
          <w:rFonts w:ascii="Calibri" w:eastAsia="Calibri" w:hAnsi="Calibri"/>
          <w:szCs w:val="22"/>
        </w:rPr>
      </w:pPr>
      <w:r>
        <w:rPr>
          <w:rFonts w:ascii="Calibri" w:eastAsia="Calibri" w:hAnsi="Calibri"/>
          <w:szCs w:val="22"/>
        </w:rPr>
        <w:t xml:space="preserve">Please feel free to contact me should you have any questions at </w:t>
      </w:r>
      <w:r w:rsidR="0069459E">
        <w:rPr>
          <w:rFonts w:ascii="Calibri" w:eastAsia="Calibri" w:hAnsi="Calibri"/>
          <w:szCs w:val="22"/>
        </w:rPr>
        <w:t xml:space="preserve">786-9369 or </w:t>
      </w:r>
      <w:hyperlink r:id="rId11" w:history="1">
        <w:r w:rsidRPr="0040157E">
          <w:rPr>
            <w:rStyle w:val="Hyperlink"/>
            <w:rFonts w:ascii="Calibri" w:eastAsia="Calibri" w:hAnsi="Calibri"/>
            <w:szCs w:val="22"/>
          </w:rPr>
          <w:t>Heidi.Lawyer@vbpd.virginia.gov</w:t>
        </w:r>
      </w:hyperlink>
      <w:r>
        <w:rPr>
          <w:rFonts w:ascii="Calibri" w:eastAsia="Calibri" w:hAnsi="Calibri"/>
          <w:szCs w:val="22"/>
        </w:rPr>
        <w:t>. Thank you again for the opportunity to provide comment.</w:t>
      </w:r>
    </w:p>
    <w:p w14:paraId="7FEBDC06" w14:textId="77777777" w:rsidR="000D6882" w:rsidRDefault="000D6882" w:rsidP="00015361">
      <w:pPr>
        <w:spacing w:after="200"/>
        <w:ind w:left="720" w:firstLine="720"/>
        <w:rPr>
          <w:rFonts w:ascii="Calibri" w:eastAsia="Calibri" w:hAnsi="Calibri"/>
          <w:szCs w:val="22"/>
        </w:rPr>
      </w:pPr>
    </w:p>
    <w:p w14:paraId="36495B5E" w14:textId="77777777" w:rsidR="000D6882" w:rsidRPr="002F7CE0" w:rsidRDefault="000D6882" w:rsidP="00015361">
      <w:pPr>
        <w:spacing w:after="200"/>
        <w:ind w:left="720" w:firstLine="720"/>
        <w:rPr>
          <w:rFonts w:ascii="Calibri" w:eastAsia="Calibri" w:hAnsi="Calibri"/>
          <w:szCs w:val="22"/>
        </w:rPr>
        <w:sectPr w:rsidR="000D6882" w:rsidRPr="002F7CE0" w:rsidSect="00015361">
          <w:headerReference w:type="default" r:id="rId12"/>
          <w:footerReference w:type="default" r:id="rId13"/>
          <w:pgSz w:w="12240" w:h="15840" w:code="1"/>
          <w:pgMar w:top="720" w:right="720" w:bottom="720" w:left="720" w:header="720" w:footer="720" w:gutter="0"/>
          <w:cols w:space="720"/>
          <w:docGrid w:linePitch="360"/>
        </w:sectPr>
      </w:pPr>
      <w:bookmarkStart w:id="0" w:name="_GoBack"/>
      <w:bookmarkEnd w:id="0"/>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734"/>
        <w:gridCol w:w="6278"/>
        <w:gridCol w:w="4669"/>
      </w:tblGrid>
      <w:tr w:rsidR="00277628" w:rsidRPr="0096553B" w14:paraId="4FE365C8" w14:textId="77777777" w:rsidTr="00F23332">
        <w:trPr>
          <w:cantSplit/>
          <w:trHeight w:val="1623"/>
          <w:tblHeader/>
          <w:jc w:val="center"/>
        </w:trPr>
        <w:tc>
          <w:tcPr>
            <w:tcW w:w="432" w:type="pct"/>
            <w:tcBorders>
              <w:bottom w:val="single" w:sz="4" w:space="0" w:color="auto"/>
            </w:tcBorders>
            <w:shd w:val="clear" w:color="auto" w:fill="D9D9D9"/>
          </w:tcPr>
          <w:p w14:paraId="1BD0D9F8"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lastRenderedPageBreak/>
              <w:t>Contract Reference</w:t>
            </w:r>
          </w:p>
          <w:p w14:paraId="3646D257"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 xml:space="preserve">(Include </w:t>
            </w:r>
          </w:p>
          <w:p w14:paraId="560025E0"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Sub-Section and Page Number)</w:t>
            </w:r>
          </w:p>
        </w:tc>
        <w:tc>
          <w:tcPr>
            <w:tcW w:w="913" w:type="pct"/>
            <w:tcBorders>
              <w:bottom w:val="single" w:sz="4" w:space="0" w:color="auto"/>
            </w:tcBorders>
            <w:shd w:val="clear" w:color="auto" w:fill="D9D9D9"/>
          </w:tcPr>
          <w:p w14:paraId="5EB9ED25"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 xml:space="preserve">Specific Contract Language at Issue </w:t>
            </w:r>
          </w:p>
          <w:p w14:paraId="1DCB9E6D" w14:textId="77777777" w:rsidR="00277628" w:rsidRPr="0096553B" w:rsidRDefault="00277628" w:rsidP="00702D5F">
            <w:pPr>
              <w:contextualSpacing/>
              <w:jc w:val="center"/>
              <w:rPr>
                <w:rFonts w:ascii="Arial" w:hAnsi="Arial" w:cs="Arial"/>
                <w:b/>
                <w:sz w:val="22"/>
                <w:szCs w:val="22"/>
              </w:rPr>
            </w:pPr>
          </w:p>
          <w:p w14:paraId="27898A59"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(Highlight or Underline Areas at Issue if an editorial change)</w:t>
            </w:r>
          </w:p>
        </w:tc>
        <w:tc>
          <w:tcPr>
            <w:tcW w:w="2096" w:type="pct"/>
            <w:tcBorders>
              <w:bottom w:val="single" w:sz="4" w:space="0" w:color="auto"/>
            </w:tcBorders>
            <w:shd w:val="clear" w:color="auto" w:fill="D9D9D9"/>
          </w:tcPr>
          <w:p w14:paraId="628D4E7F"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Reason for Amendment/Change</w:t>
            </w:r>
          </w:p>
          <w:p w14:paraId="620959FE" w14:textId="77777777" w:rsidR="00277628" w:rsidRPr="0096553B" w:rsidRDefault="00277628" w:rsidP="00702D5F">
            <w:pPr>
              <w:contextualSpacing/>
              <w:jc w:val="center"/>
              <w:rPr>
                <w:rFonts w:ascii="Arial" w:hAnsi="Arial" w:cs="Arial"/>
                <w:b/>
                <w:sz w:val="22"/>
                <w:szCs w:val="22"/>
              </w:rPr>
            </w:pPr>
          </w:p>
          <w:p w14:paraId="1BCE48C8"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(Ex – Regulation change, inconsistent with stated policy, updating antiquated language, duplication, etc.)</w:t>
            </w:r>
          </w:p>
        </w:tc>
        <w:tc>
          <w:tcPr>
            <w:tcW w:w="1559" w:type="pct"/>
            <w:tcBorders>
              <w:bottom w:val="single" w:sz="4" w:space="0" w:color="auto"/>
            </w:tcBorders>
            <w:shd w:val="clear" w:color="auto" w:fill="D9D9D9"/>
          </w:tcPr>
          <w:p w14:paraId="53CADC86"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 xml:space="preserve">IC Comment and </w:t>
            </w:r>
          </w:p>
          <w:p w14:paraId="287ADF8A" w14:textId="77777777" w:rsidR="00277628" w:rsidRPr="0096553B" w:rsidRDefault="00277628" w:rsidP="00702D5F">
            <w:pPr>
              <w:contextualSpacing/>
              <w:jc w:val="center"/>
              <w:rPr>
                <w:rFonts w:ascii="Arial" w:hAnsi="Arial" w:cs="Arial"/>
                <w:b/>
                <w:sz w:val="22"/>
                <w:szCs w:val="22"/>
              </w:rPr>
            </w:pPr>
            <w:r w:rsidRPr="0096553B">
              <w:rPr>
                <w:rFonts w:ascii="Arial" w:hAnsi="Arial" w:cs="Arial"/>
                <w:b/>
                <w:sz w:val="22"/>
                <w:szCs w:val="22"/>
              </w:rPr>
              <w:t xml:space="preserve">Final Decision </w:t>
            </w:r>
          </w:p>
          <w:p w14:paraId="0CDE8954" w14:textId="77777777" w:rsidR="00277628" w:rsidRPr="0096553B" w:rsidRDefault="00277628" w:rsidP="00702D5F">
            <w:pPr>
              <w:contextualSpacing/>
              <w:jc w:val="center"/>
              <w:rPr>
                <w:rFonts w:ascii="Arial" w:hAnsi="Arial" w:cs="Arial"/>
                <w:b/>
                <w:sz w:val="22"/>
                <w:szCs w:val="22"/>
              </w:rPr>
            </w:pPr>
          </w:p>
          <w:p w14:paraId="504706F9" w14:textId="77777777" w:rsidR="00277628" w:rsidRPr="0096553B" w:rsidRDefault="00277628" w:rsidP="00702D5F">
            <w:pPr>
              <w:contextualSpacing/>
              <w:jc w:val="center"/>
              <w:rPr>
                <w:rFonts w:ascii="Arial" w:hAnsi="Arial" w:cs="Arial"/>
                <w:b/>
                <w:sz w:val="22"/>
                <w:szCs w:val="22"/>
              </w:rPr>
            </w:pPr>
          </w:p>
        </w:tc>
      </w:tr>
      <w:tr w:rsidR="00FD03F4" w:rsidRPr="0096553B" w14:paraId="7F3B8E85" w14:textId="77777777" w:rsidTr="00F23332">
        <w:trPr>
          <w:trHeight w:val="1353"/>
          <w:jc w:val="center"/>
        </w:trPr>
        <w:tc>
          <w:tcPr>
            <w:tcW w:w="432" w:type="pct"/>
            <w:shd w:val="clear" w:color="auto" w:fill="auto"/>
            <w:vAlign w:val="center"/>
          </w:tcPr>
          <w:p w14:paraId="61C49600" w14:textId="77777777" w:rsidR="00FD03F4" w:rsidRPr="0096553B" w:rsidRDefault="00FD03F4"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4.3,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43</w:t>
            </w:r>
          </w:p>
        </w:tc>
        <w:tc>
          <w:tcPr>
            <w:tcW w:w="913" w:type="pct"/>
            <w:shd w:val="clear" w:color="auto" w:fill="auto"/>
            <w:vAlign w:val="center"/>
          </w:tcPr>
          <w:p w14:paraId="4DBB70DD" w14:textId="77777777" w:rsidR="00FD03F4" w:rsidRPr="0096553B" w:rsidRDefault="00FD03F4"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Coverage is required for children under the age of 5, persons</w:t>
            </w:r>
            <w:r w:rsidRPr="0096553B">
              <w:rPr>
                <w:rFonts w:asciiTheme="minorHAnsi" w:hAnsiTheme="minorHAnsi" w:cstheme="minorHAnsi"/>
                <w:strike/>
                <w:color w:val="FF0000"/>
                <w:sz w:val="22"/>
                <w:szCs w:val="22"/>
              </w:rPr>
              <w:t xml:space="preserve"> who are severely disabled</w:t>
            </w:r>
            <w:r w:rsidRPr="0096553B">
              <w:rPr>
                <w:rFonts w:asciiTheme="minorHAnsi" w:hAnsiTheme="minorHAnsi" w:cstheme="minorHAnsi"/>
                <w:color w:val="FF0000"/>
                <w:sz w:val="22"/>
                <w:szCs w:val="22"/>
                <w:u w:val="single"/>
              </w:rPr>
              <w:t xml:space="preserve"> with severe disabilities</w:t>
            </w:r>
            <w:r w:rsidRPr="0096553B">
              <w:rPr>
                <w:rFonts w:asciiTheme="minorHAnsi" w:hAnsiTheme="minorHAnsi" w:cstheme="minorHAnsi"/>
                <w:sz w:val="22"/>
                <w:szCs w:val="22"/>
              </w:rPr>
              <w:t>, and…”</w:t>
            </w:r>
          </w:p>
        </w:tc>
        <w:tc>
          <w:tcPr>
            <w:tcW w:w="2096" w:type="pct"/>
            <w:shd w:val="clear" w:color="auto" w:fill="auto"/>
            <w:vAlign w:val="center"/>
          </w:tcPr>
          <w:p w14:paraId="2AE5B996" w14:textId="77777777" w:rsidR="00FD03F4" w:rsidRPr="0096553B" w:rsidRDefault="00B67419"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t>This suggested revision is to use people-first language.</w:t>
            </w:r>
          </w:p>
        </w:tc>
        <w:tc>
          <w:tcPr>
            <w:tcW w:w="1559" w:type="pct"/>
            <w:shd w:val="clear" w:color="auto" w:fill="D9D9D9" w:themeFill="background1" w:themeFillShade="D9"/>
          </w:tcPr>
          <w:p w14:paraId="4A0D672A" w14:textId="77777777" w:rsidR="00FD03F4" w:rsidRPr="0096553B" w:rsidRDefault="00FD03F4" w:rsidP="00702D5F">
            <w:pPr>
              <w:rPr>
                <w:rFonts w:asciiTheme="minorHAnsi" w:hAnsiTheme="minorHAnsi" w:cs="Arial"/>
                <w:color w:val="FF0000"/>
                <w:sz w:val="22"/>
                <w:szCs w:val="22"/>
              </w:rPr>
            </w:pPr>
          </w:p>
        </w:tc>
      </w:tr>
      <w:tr w:rsidR="00277628" w:rsidRPr="0096553B" w14:paraId="58E7C9FA" w14:textId="77777777" w:rsidTr="00F23332">
        <w:trPr>
          <w:trHeight w:val="1353"/>
          <w:jc w:val="center"/>
        </w:trPr>
        <w:tc>
          <w:tcPr>
            <w:tcW w:w="432" w:type="pct"/>
            <w:shd w:val="clear" w:color="auto" w:fill="auto"/>
            <w:vAlign w:val="center"/>
          </w:tcPr>
          <w:p w14:paraId="2AD78379" w14:textId="77777777" w:rsidR="00F9120D" w:rsidRPr="0096553B" w:rsidRDefault="008E05E1"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4.7.2.8,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54</w:t>
            </w:r>
          </w:p>
        </w:tc>
        <w:tc>
          <w:tcPr>
            <w:tcW w:w="913" w:type="pct"/>
            <w:shd w:val="clear" w:color="auto" w:fill="auto"/>
            <w:vAlign w:val="center"/>
          </w:tcPr>
          <w:p w14:paraId="28DB75E0" w14:textId="3CC4C175" w:rsidR="00277628" w:rsidRPr="0096553B" w:rsidRDefault="008E05E1" w:rsidP="00702D5F">
            <w:pPr>
              <w:rPr>
                <w:rFonts w:asciiTheme="minorHAnsi" w:hAnsiTheme="minorHAnsi" w:cstheme="minorHAnsi"/>
                <w:color w:val="FF0000"/>
                <w:sz w:val="22"/>
                <w:szCs w:val="22"/>
                <w:u w:val="single"/>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In accordance with 12VAC30-120-924.B, the Contractor shall develop policies and procedures for Department approval prior to implementation, and at revision, and upon request that</w:t>
            </w:r>
            <w:r w:rsidR="001C6D29" w:rsidRPr="0096553B">
              <w:rPr>
                <w:rFonts w:asciiTheme="minorHAnsi" w:hAnsiTheme="minorHAnsi" w:cstheme="minorHAnsi"/>
                <w:sz w:val="22"/>
                <w:szCs w:val="22"/>
              </w:rPr>
              <w:t xml:space="preserve"> include </w:t>
            </w:r>
            <w:r w:rsidR="00BC1E76" w:rsidRPr="0096553B">
              <w:rPr>
                <w:rFonts w:asciiTheme="minorHAnsi" w:hAnsiTheme="minorHAnsi" w:cstheme="minorHAnsi"/>
                <w:sz w:val="22"/>
                <w:szCs w:val="22"/>
              </w:rPr>
              <w:t xml:space="preserve">the ability to </w:t>
            </w:r>
            <w:r w:rsidR="001C6D29" w:rsidRPr="0096553B">
              <w:rPr>
                <w:rFonts w:asciiTheme="minorHAnsi" w:hAnsiTheme="minorHAnsi" w:cstheme="minorHAnsi"/>
                <w:sz w:val="22"/>
                <w:szCs w:val="22"/>
              </w:rPr>
              <w:t>determine the capacity of Members to self-direct services</w:t>
            </w:r>
            <w:r w:rsidR="0032594A" w:rsidRPr="0096553B">
              <w:rPr>
                <w:rFonts w:asciiTheme="minorHAnsi" w:hAnsiTheme="minorHAnsi" w:cstheme="minorHAnsi"/>
                <w:sz w:val="22"/>
                <w:szCs w:val="22"/>
              </w:rPr>
              <w:t xml:space="preserve">, </w:t>
            </w:r>
            <w:r w:rsidR="001C6D29" w:rsidRPr="0096553B">
              <w:rPr>
                <w:rFonts w:asciiTheme="minorHAnsi" w:hAnsiTheme="minorHAnsi" w:cstheme="minorHAnsi"/>
                <w:sz w:val="22"/>
                <w:szCs w:val="22"/>
              </w:rPr>
              <w:t>the criteria for determining when a person receiving services is no longer able to self-direct services received, and regularly verifying that appropriate services are provided</w:t>
            </w:r>
            <w:r w:rsidR="0032594A" w:rsidRPr="0096553B">
              <w:rPr>
                <w:rFonts w:asciiTheme="minorHAnsi" w:hAnsiTheme="minorHAnsi" w:cstheme="minorHAnsi"/>
                <w:sz w:val="22"/>
                <w:szCs w:val="22"/>
              </w:rPr>
              <w:t xml:space="preserve">. </w:t>
            </w:r>
            <w:r w:rsidR="00071690" w:rsidRPr="0096553B">
              <w:rPr>
                <w:rFonts w:asciiTheme="minorHAnsi" w:hAnsiTheme="minorHAnsi" w:cstheme="minorHAnsi"/>
                <w:color w:val="FF0000"/>
                <w:sz w:val="22"/>
                <w:szCs w:val="22"/>
                <w:u w:val="single"/>
              </w:rPr>
              <w:t xml:space="preserve">The policies and procedures should </w:t>
            </w:r>
            <w:r w:rsidR="00171AE5" w:rsidRPr="0096553B">
              <w:rPr>
                <w:rFonts w:asciiTheme="minorHAnsi" w:hAnsiTheme="minorHAnsi" w:cstheme="minorHAnsi"/>
                <w:color w:val="FF0000"/>
                <w:sz w:val="22"/>
                <w:szCs w:val="22"/>
                <w:u w:val="single"/>
              </w:rPr>
              <w:t xml:space="preserve">also </w:t>
            </w:r>
            <w:r w:rsidR="00071690" w:rsidRPr="0096553B">
              <w:rPr>
                <w:rFonts w:asciiTheme="minorHAnsi" w:hAnsiTheme="minorHAnsi" w:cstheme="minorHAnsi"/>
                <w:color w:val="FF0000"/>
                <w:sz w:val="22"/>
                <w:szCs w:val="22"/>
                <w:u w:val="single"/>
              </w:rPr>
              <w:t xml:space="preserve">address </w:t>
            </w:r>
            <w:r w:rsidR="0077099F" w:rsidRPr="0096553B">
              <w:rPr>
                <w:rFonts w:asciiTheme="minorHAnsi" w:hAnsiTheme="minorHAnsi" w:cstheme="minorHAnsi"/>
                <w:color w:val="FF0000"/>
                <w:sz w:val="22"/>
                <w:szCs w:val="22"/>
                <w:u w:val="single"/>
              </w:rPr>
              <w:t xml:space="preserve">intermediate steps </w:t>
            </w:r>
            <w:r w:rsidR="0077099F" w:rsidRPr="0096553B">
              <w:rPr>
                <w:rFonts w:asciiTheme="minorHAnsi" w:hAnsiTheme="minorHAnsi" w:cstheme="minorHAnsi"/>
                <w:color w:val="FF0000"/>
                <w:sz w:val="22"/>
                <w:szCs w:val="22"/>
                <w:u w:val="single"/>
              </w:rPr>
              <w:lastRenderedPageBreak/>
              <w:t>the C</w:t>
            </w:r>
            <w:r w:rsidR="00305D40" w:rsidRPr="0096553B">
              <w:rPr>
                <w:rFonts w:asciiTheme="minorHAnsi" w:hAnsiTheme="minorHAnsi" w:cstheme="minorHAnsi"/>
                <w:color w:val="FF0000"/>
                <w:sz w:val="22"/>
                <w:szCs w:val="22"/>
                <w:u w:val="single"/>
              </w:rPr>
              <w:t xml:space="preserve">ontractor will </w:t>
            </w:r>
            <w:r w:rsidR="00E85A47" w:rsidRPr="0096553B">
              <w:rPr>
                <w:rFonts w:asciiTheme="minorHAnsi" w:hAnsiTheme="minorHAnsi" w:cstheme="minorHAnsi"/>
                <w:color w:val="FF0000"/>
                <w:sz w:val="22"/>
                <w:szCs w:val="22"/>
                <w:u w:val="single"/>
              </w:rPr>
              <w:t>use</w:t>
            </w:r>
            <w:r w:rsidR="00305D40" w:rsidRPr="0096553B">
              <w:rPr>
                <w:rFonts w:asciiTheme="minorHAnsi" w:hAnsiTheme="minorHAnsi" w:cstheme="minorHAnsi"/>
                <w:color w:val="FF0000"/>
                <w:sz w:val="22"/>
                <w:szCs w:val="22"/>
                <w:u w:val="single"/>
              </w:rPr>
              <w:t xml:space="preserve"> to a</w:t>
            </w:r>
            <w:r w:rsidR="00B5086C" w:rsidRPr="0096553B">
              <w:rPr>
                <w:rFonts w:asciiTheme="minorHAnsi" w:hAnsiTheme="minorHAnsi" w:cstheme="minorHAnsi"/>
                <w:color w:val="FF0000"/>
                <w:sz w:val="22"/>
                <w:szCs w:val="22"/>
                <w:u w:val="single"/>
              </w:rPr>
              <w:t xml:space="preserve">ddress emerging issues </w:t>
            </w:r>
            <w:r w:rsidR="00305D40" w:rsidRPr="0096553B">
              <w:rPr>
                <w:rFonts w:asciiTheme="minorHAnsi" w:hAnsiTheme="minorHAnsi" w:cstheme="minorHAnsi"/>
                <w:color w:val="FF0000"/>
                <w:sz w:val="22"/>
                <w:szCs w:val="22"/>
                <w:u w:val="single"/>
              </w:rPr>
              <w:t xml:space="preserve">prior to resorting to </w:t>
            </w:r>
            <w:r w:rsidR="00DC06CD" w:rsidRPr="0096553B">
              <w:rPr>
                <w:rFonts w:asciiTheme="minorHAnsi" w:hAnsiTheme="minorHAnsi" w:cstheme="minorHAnsi"/>
                <w:color w:val="FF0000"/>
                <w:sz w:val="22"/>
                <w:szCs w:val="22"/>
                <w:u w:val="single"/>
              </w:rPr>
              <w:t>involuntary disenrollment</w:t>
            </w:r>
            <w:r w:rsidR="00244AB0" w:rsidRPr="0096553B">
              <w:rPr>
                <w:rFonts w:asciiTheme="minorHAnsi" w:hAnsiTheme="minorHAnsi" w:cstheme="minorHAnsi"/>
                <w:color w:val="FF0000"/>
                <w:sz w:val="22"/>
                <w:szCs w:val="22"/>
                <w:u w:val="single"/>
              </w:rPr>
              <w:t xml:space="preserve"> from consumer-directed services</w:t>
            </w:r>
            <w:r w:rsidR="00980832" w:rsidRPr="0096553B">
              <w:rPr>
                <w:rFonts w:asciiTheme="minorHAnsi" w:hAnsiTheme="minorHAnsi" w:cstheme="minorHAnsi"/>
                <w:color w:val="FF0000"/>
                <w:sz w:val="22"/>
                <w:szCs w:val="22"/>
                <w:u w:val="single"/>
              </w:rPr>
              <w:t>.</w:t>
            </w:r>
            <w:r w:rsidR="00B5086C" w:rsidRPr="0096553B">
              <w:rPr>
                <w:rFonts w:asciiTheme="minorHAnsi" w:hAnsiTheme="minorHAnsi" w:cstheme="minorHAnsi"/>
                <w:color w:val="FF0000"/>
                <w:sz w:val="22"/>
                <w:szCs w:val="22"/>
              </w:rPr>
              <w:t xml:space="preserve"> </w:t>
            </w:r>
            <w:r w:rsidR="00B5086C" w:rsidRPr="0096553B">
              <w:rPr>
                <w:rFonts w:asciiTheme="minorHAnsi" w:hAnsiTheme="minorHAnsi" w:cstheme="minorHAnsi"/>
                <w:color w:val="FF0000"/>
                <w:sz w:val="22"/>
                <w:szCs w:val="22"/>
                <w:u w:val="single"/>
              </w:rPr>
              <w:t>Intermediate steps could include assessing whether the provision of additional training and assistance to the member or representative could be beneficial and, if so, ensure training is provided through the service facilitator</w:t>
            </w:r>
            <w:r w:rsidR="00EE7129" w:rsidRPr="0096553B">
              <w:rPr>
                <w:rFonts w:asciiTheme="minorHAnsi" w:hAnsiTheme="minorHAnsi" w:cstheme="minorHAnsi"/>
                <w:color w:val="FF0000"/>
                <w:sz w:val="22"/>
                <w:szCs w:val="22"/>
                <w:u w:val="single"/>
              </w:rPr>
              <w:t>. It could also include</w:t>
            </w:r>
            <w:r w:rsidR="00B5086C" w:rsidRPr="0096553B">
              <w:rPr>
                <w:rFonts w:asciiTheme="minorHAnsi" w:hAnsiTheme="minorHAnsi" w:cstheme="minorHAnsi"/>
                <w:color w:val="FF0000"/>
                <w:sz w:val="22"/>
                <w:szCs w:val="22"/>
                <w:u w:val="single"/>
              </w:rPr>
              <w:t xml:space="preserve"> collaborating with the member or representative, the member’s service facilitator, the member’s care coordinator, and the Department on how to address issues</w:t>
            </w:r>
            <w:r w:rsidR="006B1FB8" w:rsidRPr="0096553B">
              <w:rPr>
                <w:rFonts w:asciiTheme="minorHAnsi" w:hAnsiTheme="minorHAnsi" w:cstheme="minorHAnsi"/>
                <w:color w:val="FF0000"/>
                <w:sz w:val="22"/>
                <w:szCs w:val="22"/>
                <w:u w:val="single"/>
              </w:rPr>
              <w:t>. T</w:t>
            </w:r>
            <w:r w:rsidR="009C762E">
              <w:rPr>
                <w:rFonts w:asciiTheme="minorHAnsi" w:hAnsiTheme="minorHAnsi" w:cstheme="minorHAnsi"/>
                <w:color w:val="FF0000"/>
                <w:sz w:val="22"/>
                <w:szCs w:val="22"/>
                <w:u w:val="single"/>
              </w:rPr>
              <w:t>he Contractor shall</w:t>
            </w:r>
            <w:r w:rsidR="006B1FB8" w:rsidRPr="0096553B">
              <w:rPr>
                <w:rFonts w:asciiTheme="minorHAnsi" w:hAnsiTheme="minorHAnsi" w:cstheme="minorHAnsi"/>
                <w:color w:val="FF0000"/>
                <w:sz w:val="22"/>
                <w:szCs w:val="22"/>
                <w:u w:val="single"/>
              </w:rPr>
              <w:t xml:space="preserve"> report instances of involuntary disenrollment from </w:t>
            </w:r>
            <w:r w:rsidR="006B1FB8" w:rsidRPr="0096553B">
              <w:rPr>
                <w:rFonts w:asciiTheme="minorHAnsi" w:hAnsiTheme="minorHAnsi" w:cstheme="minorHAnsi"/>
                <w:color w:val="FF0000"/>
                <w:sz w:val="22"/>
                <w:szCs w:val="22"/>
                <w:u w:val="single"/>
              </w:rPr>
              <w:lastRenderedPageBreak/>
              <w:t>consumer-directed services to the Department per the CCC Plus Technical Manual.</w:t>
            </w:r>
            <w:r w:rsidR="00980832" w:rsidRPr="0096553B">
              <w:rPr>
                <w:rFonts w:asciiTheme="minorHAnsi" w:hAnsiTheme="minorHAnsi" w:cstheme="minorHAnsi"/>
                <w:sz w:val="22"/>
                <w:szCs w:val="22"/>
              </w:rPr>
              <w:t>”</w:t>
            </w:r>
          </w:p>
        </w:tc>
        <w:tc>
          <w:tcPr>
            <w:tcW w:w="2096" w:type="pct"/>
            <w:shd w:val="clear" w:color="auto" w:fill="auto"/>
            <w:vAlign w:val="center"/>
          </w:tcPr>
          <w:p w14:paraId="0645DFB4" w14:textId="77777777" w:rsidR="00573423" w:rsidRPr="0096553B" w:rsidRDefault="00F3744F"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 xml:space="preserve">VBPD is pleased that the Department added the requirement that the </w:t>
            </w:r>
            <w:r w:rsidR="00D24E84" w:rsidRPr="0096553B">
              <w:rPr>
                <w:rFonts w:asciiTheme="minorHAnsi" w:hAnsiTheme="minorHAnsi" w:cstheme="minorHAnsi"/>
                <w:color w:val="000000"/>
                <w:sz w:val="22"/>
                <w:szCs w:val="22"/>
              </w:rPr>
              <w:t>C</w:t>
            </w:r>
            <w:r w:rsidRPr="0096553B">
              <w:rPr>
                <w:rFonts w:asciiTheme="minorHAnsi" w:hAnsiTheme="minorHAnsi" w:cstheme="minorHAnsi"/>
                <w:color w:val="000000"/>
                <w:sz w:val="22"/>
                <w:szCs w:val="22"/>
              </w:rPr>
              <w:t>ontractor obtain Department approva</w:t>
            </w:r>
            <w:r w:rsidR="004F62E0" w:rsidRPr="0096553B">
              <w:rPr>
                <w:rFonts w:asciiTheme="minorHAnsi" w:hAnsiTheme="minorHAnsi" w:cstheme="minorHAnsi"/>
                <w:color w:val="000000"/>
                <w:sz w:val="22"/>
                <w:szCs w:val="22"/>
              </w:rPr>
              <w:t>l of these policies and procedures</w:t>
            </w:r>
            <w:r w:rsidRPr="0096553B">
              <w:rPr>
                <w:rFonts w:asciiTheme="minorHAnsi" w:hAnsiTheme="minorHAnsi" w:cstheme="minorHAnsi"/>
                <w:color w:val="000000"/>
                <w:sz w:val="22"/>
                <w:szCs w:val="22"/>
              </w:rPr>
              <w:t>, in response to our feedback</w:t>
            </w:r>
            <w:r w:rsidR="0093415B" w:rsidRPr="0096553B">
              <w:rPr>
                <w:rFonts w:asciiTheme="minorHAnsi" w:hAnsiTheme="minorHAnsi" w:cstheme="minorHAnsi"/>
                <w:color w:val="000000"/>
                <w:sz w:val="22"/>
                <w:szCs w:val="22"/>
              </w:rPr>
              <w:t xml:space="preserve"> last year</w:t>
            </w:r>
            <w:r w:rsidRPr="0096553B">
              <w:rPr>
                <w:rFonts w:asciiTheme="minorHAnsi" w:hAnsiTheme="minorHAnsi" w:cstheme="minorHAnsi"/>
                <w:color w:val="000000"/>
                <w:sz w:val="22"/>
                <w:szCs w:val="22"/>
              </w:rPr>
              <w:t xml:space="preserve">. </w:t>
            </w:r>
          </w:p>
          <w:p w14:paraId="41A3C140" w14:textId="77777777" w:rsidR="00573423" w:rsidRPr="0096553B" w:rsidRDefault="00573423" w:rsidP="00702D5F">
            <w:pPr>
              <w:rPr>
                <w:rFonts w:asciiTheme="minorHAnsi" w:hAnsiTheme="minorHAnsi" w:cstheme="minorHAnsi"/>
                <w:color w:val="000000"/>
                <w:sz w:val="22"/>
                <w:szCs w:val="22"/>
              </w:rPr>
            </w:pPr>
          </w:p>
          <w:p w14:paraId="42398B51" w14:textId="096F982E" w:rsidR="0032594A" w:rsidRPr="0096553B" w:rsidRDefault="0032594A"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t>This provision could be further strengthened by b</w:t>
            </w:r>
            <w:r w:rsidR="00D24E84" w:rsidRPr="0096553B">
              <w:rPr>
                <w:rFonts w:asciiTheme="minorHAnsi" w:hAnsiTheme="minorHAnsi" w:cstheme="minorHAnsi"/>
                <w:color w:val="000000"/>
                <w:sz w:val="22"/>
                <w:szCs w:val="22"/>
              </w:rPr>
              <w:t>etter ensuring that the C</w:t>
            </w:r>
            <w:r w:rsidRPr="0096553B">
              <w:rPr>
                <w:rFonts w:asciiTheme="minorHAnsi" w:hAnsiTheme="minorHAnsi" w:cstheme="minorHAnsi"/>
                <w:color w:val="000000"/>
                <w:sz w:val="22"/>
                <w:szCs w:val="22"/>
              </w:rPr>
              <w:t xml:space="preserve">ontractor is acting in the best interest of the member and supporting the member’s informed choices to the greatest extent. </w:t>
            </w:r>
            <w:r w:rsidRPr="0096553B">
              <w:rPr>
                <w:rFonts w:asciiTheme="minorHAnsi" w:hAnsiTheme="minorHAnsi" w:cstheme="minorHAnsi"/>
                <w:sz w:val="22"/>
                <w:szCs w:val="22"/>
              </w:rPr>
              <w:t xml:space="preserve">MCOs may have a conflict of interest given the additional education and oversight components needed for consumer-directed </w:t>
            </w:r>
            <w:proofErr w:type="gramStart"/>
            <w:r w:rsidRPr="0096553B">
              <w:rPr>
                <w:rFonts w:asciiTheme="minorHAnsi" w:hAnsiTheme="minorHAnsi" w:cstheme="minorHAnsi"/>
                <w:sz w:val="22"/>
                <w:szCs w:val="22"/>
              </w:rPr>
              <w:t>services,</w:t>
            </w:r>
            <w:proofErr w:type="gramEnd"/>
            <w:r w:rsidRPr="0096553B">
              <w:rPr>
                <w:rFonts w:asciiTheme="minorHAnsi" w:hAnsiTheme="minorHAnsi" w:cstheme="minorHAnsi"/>
                <w:sz w:val="22"/>
                <w:szCs w:val="22"/>
              </w:rPr>
              <w:t xml:space="preserve"> and MCOs may not have the expertise to </w:t>
            </w:r>
            <w:r w:rsidR="007A5719" w:rsidRPr="0096553B">
              <w:rPr>
                <w:rFonts w:asciiTheme="minorHAnsi" w:hAnsiTheme="minorHAnsi" w:cstheme="minorHAnsi"/>
                <w:sz w:val="22"/>
                <w:szCs w:val="22"/>
              </w:rPr>
              <w:t xml:space="preserve">sufficiently </w:t>
            </w:r>
            <w:r w:rsidRPr="0096553B">
              <w:rPr>
                <w:rFonts w:asciiTheme="minorHAnsi" w:hAnsiTheme="minorHAnsi" w:cstheme="minorHAnsi"/>
                <w:sz w:val="22"/>
                <w:szCs w:val="22"/>
              </w:rPr>
              <w:t>determine when a member does or does not have the capacity to self-direct services. At a minimum, additional safeguards should be implemented</w:t>
            </w:r>
            <w:r w:rsidR="00347CC1" w:rsidRPr="0096553B">
              <w:rPr>
                <w:rFonts w:asciiTheme="minorHAnsi" w:hAnsiTheme="minorHAnsi" w:cstheme="minorHAnsi"/>
                <w:sz w:val="22"/>
                <w:szCs w:val="22"/>
              </w:rPr>
              <w:t>, including</w:t>
            </w:r>
            <w:r w:rsidRPr="0096553B">
              <w:rPr>
                <w:rFonts w:asciiTheme="minorHAnsi" w:hAnsiTheme="minorHAnsi" w:cstheme="minorHAnsi"/>
                <w:sz w:val="22"/>
                <w:szCs w:val="22"/>
              </w:rPr>
              <w:t xml:space="preserve"> requiring the Contractor to implement intermediate steps </w:t>
            </w:r>
            <w:r w:rsidR="00347CC1" w:rsidRPr="0096553B">
              <w:rPr>
                <w:rFonts w:asciiTheme="minorHAnsi" w:hAnsiTheme="minorHAnsi" w:cstheme="minorHAnsi"/>
                <w:sz w:val="22"/>
                <w:szCs w:val="22"/>
              </w:rPr>
              <w:t xml:space="preserve">as </w:t>
            </w:r>
            <w:r w:rsidRPr="0096553B">
              <w:rPr>
                <w:rFonts w:asciiTheme="minorHAnsi" w:hAnsiTheme="minorHAnsi" w:cstheme="minorHAnsi"/>
                <w:sz w:val="22"/>
                <w:szCs w:val="22"/>
              </w:rPr>
              <w:t xml:space="preserve">suggested in the Joint Legislative Audit and Review Commission’s December 2016 report, </w:t>
            </w:r>
            <w:r w:rsidRPr="0096553B">
              <w:rPr>
                <w:rFonts w:asciiTheme="minorHAnsi" w:hAnsiTheme="minorHAnsi" w:cstheme="minorHAnsi"/>
                <w:i/>
                <w:iCs/>
                <w:sz w:val="22"/>
                <w:szCs w:val="22"/>
              </w:rPr>
              <w:t xml:space="preserve">Managing Spending in Virginia’s Medicaid Program </w:t>
            </w:r>
            <w:r w:rsidRPr="0096553B">
              <w:rPr>
                <w:rFonts w:asciiTheme="minorHAnsi" w:hAnsiTheme="minorHAnsi" w:cstheme="minorHAnsi"/>
                <w:iCs/>
                <w:sz w:val="22"/>
                <w:szCs w:val="22"/>
              </w:rPr>
              <w:t xml:space="preserve">(see pages 74-5) </w:t>
            </w:r>
            <w:r w:rsidRPr="0096553B">
              <w:rPr>
                <w:rFonts w:asciiTheme="minorHAnsi" w:hAnsiTheme="minorHAnsi" w:cstheme="minorHAnsi"/>
                <w:sz w:val="22"/>
                <w:szCs w:val="22"/>
              </w:rPr>
              <w:t>– such as</w:t>
            </w:r>
            <w:r w:rsidR="00B13E26" w:rsidRPr="0096553B">
              <w:rPr>
                <w:rFonts w:asciiTheme="minorHAnsi" w:hAnsiTheme="minorHAnsi" w:cstheme="minorHAnsi"/>
                <w:sz w:val="22"/>
                <w:szCs w:val="22"/>
              </w:rPr>
              <w:t xml:space="preserve"> facilitating the appointment of</w:t>
            </w:r>
            <w:r w:rsidR="00347CC1" w:rsidRPr="0096553B">
              <w:rPr>
                <w:rFonts w:asciiTheme="minorHAnsi" w:hAnsiTheme="minorHAnsi" w:cstheme="minorHAnsi"/>
                <w:sz w:val="22"/>
                <w:szCs w:val="22"/>
              </w:rPr>
              <w:t xml:space="preserve"> a representative,</w:t>
            </w:r>
            <w:r w:rsidRPr="0096553B">
              <w:rPr>
                <w:rFonts w:asciiTheme="minorHAnsi" w:hAnsiTheme="minorHAnsi" w:cstheme="minorHAnsi"/>
                <w:sz w:val="22"/>
                <w:szCs w:val="22"/>
              </w:rPr>
              <w:t xml:space="preserve"> providing additional tr</w:t>
            </w:r>
            <w:r w:rsidR="00347CC1" w:rsidRPr="0096553B">
              <w:rPr>
                <w:rFonts w:asciiTheme="minorHAnsi" w:hAnsiTheme="minorHAnsi" w:cstheme="minorHAnsi"/>
                <w:sz w:val="22"/>
                <w:szCs w:val="22"/>
              </w:rPr>
              <w:t xml:space="preserve">aining and assistance as needed, and collaborating with the member or representative, service facilitator, and the Department </w:t>
            </w:r>
            <w:r w:rsidRPr="0096553B">
              <w:rPr>
                <w:rFonts w:asciiTheme="minorHAnsi" w:hAnsiTheme="minorHAnsi" w:cstheme="minorHAnsi"/>
                <w:sz w:val="22"/>
                <w:szCs w:val="22"/>
              </w:rPr>
              <w:t>- prior to resorting to the denial o</w:t>
            </w:r>
            <w:r w:rsidR="00347CC1" w:rsidRPr="0096553B">
              <w:rPr>
                <w:rFonts w:asciiTheme="minorHAnsi" w:hAnsiTheme="minorHAnsi" w:cstheme="minorHAnsi"/>
                <w:sz w:val="22"/>
                <w:szCs w:val="22"/>
              </w:rPr>
              <w:t xml:space="preserve">f consumer-directed </w:t>
            </w:r>
            <w:r w:rsidR="00347CC1" w:rsidRPr="0096553B">
              <w:rPr>
                <w:rFonts w:asciiTheme="minorHAnsi" w:hAnsiTheme="minorHAnsi" w:cstheme="minorHAnsi"/>
                <w:sz w:val="22"/>
                <w:szCs w:val="22"/>
              </w:rPr>
              <w:lastRenderedPageBreak/>
              <w:t>options. The Contractor should also be required to report instances of involuntary disenrollment from consumer-directed services to the D</w:t>
            </w:r>
            <w:r w:rsidR="00B71B3F" w:rsidRPr="0096553B">
              <w:rPr>
                <w:rFonts w:asciiTheme="minorHAnsi" w:hAnsiTheme="minorHAnsi" w:cstheme="minorHAnsi"/>
                <w:sz w:val="22"/>
                <w:szCs w:val="22"/>
              </w:rPr>
              <w:t>epartment</w:t>
            </w:r>
            <w:r w:rsidR="00A444D4" w:rsidRPr="0096553B">
              <w:rPr>
                <w:rFonts w:asciiTheme="minorHAnsi" w:hAnsiTheme="minorHAnsi" w:cstheme="minorHAnsi"/>
                <w:sz w:val="22"/>
                <w:szCs w:val="22"/>
              </w:rPr>
              <w:t>, which VBPD did not see in the current CCC Plus Technical Manual</w:t>
            </w:r>
            <w:r w:rsidR="00347CC1" w:rsidRPr="0096553B">
              <w:rPr>
                <w:rFonts w:asciiTheme="minorHAnsi" w:hAnsiTheme="minorHAnsi" w:cstheme="minorHAnsi"/>
                <w:sz w:val="22"/>
                <w:szCs w:val="22"/>
              </w:rPr>
              <w:t>.</w:t>
            </w:r>
          </w:p>
        </w:tc>
        <w:tc>
          <w:tcPr>
            <w:tcW w:w="1559" w:type="pct"/>
            <w:shd w:val="clear" w:color="auto" w:fill="D9D9D9" w:themeFill="background1" w:themeFillShade="D9"/>
          </w:tcPr>
          <w:p w14:paraId="34A27ED0" w14:textId="77777777" w:rsidR="00277628" w:rsidRPr="0096553B" w:rsidRDefault="00277628" w:rsidP="00702D5F">
            <w:pPr>
              <w:rPr>
                <w:rFonts w:asciiTheme="minorHAnsi" w:hAnsiTheme="minorHAnsi" w:cs="Arial"/>
                <w:color w:val="FF0000"/>
                <w:sz w:val="22"/>
                <w:szCs w:val="22"/>
              </w:rPr>
            </w:pPr>
          </w:p>
        </w:tc>
      </w:tr>
      <w:tr w:rsidR="00BF36BA" w:rsidRPr="0096553B" w14:paraId="4C6049C9" w14:textId="77777777" w:rsidTr="00F23332">
        <w:trPr>
          <w:trHeight w:val="1353"/>
          <w:jc w:val="center"/>
        </w:trPr>
        <w:tc>
          <w:tcPr>
            <w:tcW w:w="432" w:type="pct"/>
            <w:shd w:val="clear" w:color="auto" w:fill="auto"/>
            <w:vAlign w:val="center"/>
          </w:tcPr>
          <w:p w14:paraId="4F3C628C" w14:textId="77777777" w:rsidR="00BF36BA" w:rsidRPr="0096553B" w:rsidRDefault="0026069A" w:rsidP="00702D5F">
            <w:pPr>
              <w:jc w:val="center"/>
              <w:rPr>
                <w:rFonts w:ascii="Calibri" w:hAnsi="Calibri"/>
                <w:color w:val="000000"/>
                <w:sz w:val="22"/>
                <w:szCs w:val="22"/>
              </w:rPr>
            </w:pPr>
            <w:r w:rsidRPr="0096553B">
              <w:rPr>
                <w:rFonts w:ascii="Calibri" w:hAnsi="Calibri"/>
                <w:color w:val="000000"/>
                <w:sz w:val="22"/>
                <w:szCs w:val="22"/>
              </w:rPr>
              <w:lastRenderedPageBreak/>
              <w:t xml:space="preserve">4.7.3.6,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61</w:t>
            </w:r>
          </w:p>
        </w:tc>
        <w:tc>
          <w:tcPr>
            <w:tcW w:w="913" w:type="pct"/>
            <w:shd w:val="clear" w:color="auto" w:fill="auto"/>
            <w:vAlign w:val="center"/>
          </w:tcPr>
          <w:p w14:paraId="64D7B8C2" w14:textId="3B38D440" w:rsidR="00AA29B8" w:rsidRPr="0096553B" w:rsidRDefault="0026069A" w:rsidP="00702D5F">
            <w:pPr>
              <w:rPr>
                <w:rFonts w:asciiTheme="minorHAnsi" w:hAnsiTheme="minorHAnsi" w:cstheme="minorHAnsi"/>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 xml:space="preserve">The Contractor shall </w:t>
            </w:r>
            <w:r w:rsidRPr="0096553B">
              <w:rPr>
                <w:rFonts w:asciiTheme="minorHAnsi" w:hAnsiTheme="minorHAnsi" w:cstheme="minorHAnsi"/>
                <w:strike/>
                <w:color w:val="FF0000"/>
                <w:sz w:val="22"/>
                <w:szCs w:val="22"/>
              </w:rPr>
              <w:t>be prepared to</w:t>
            </w:r>
            <w:r w:rsidRPr="0096553B">
              <w:rPr>
                <w:rFonts w:asciiTheme="minorHAnsi" w:hAnsiTheme="minorHAnsi" w:cstheme="minorHAnsi"/>
                <w:color w:val="FF0000"/>
                <w:sz w:val="22"/>
                <w:szCs w:val="22"/>
              </w:rPr>
              <w:t xml:space="preserve"> </w:t>
            </w:r>
            <w:r w:rsidRPr="0096553B">
              <w:rPr>
                <w:rFonts w:asciiTheme="minorHAnsi" w:hAnsiTheme="minorHAnsi" w:cstheme="minorHAnsi"/>
                <w:sz w:val="22"/>
                <w:szCs w:val="22"/>
              </w:rPr>
              <w:t xml:space="preserve">offer services in the home </w:t>
            </w:r>
            <w:r w:rsidRPr="0096553B">
              <w:rPr>
                <w:rFonts w:asciiTheme="minorHAnsi" w:hAnsiTheme="minorHAnsi" w:cstheme="minorHAnsi"/>
                <w:strike/>
                <w:color w:val="FF0000"/>
                <w:sz w:val="22"/>
                <w:szCs w:val="22"/>
              </w:rPr>
              <w:t>if discharge to home is appropriate and consistent with the Member’s choice</w:t>
            </w:r>
            <w:r w:rsidRPr="0096553B">
              <w:rPr>
                <w:rFonts w:asciiTheme="minorHAnsi" w:hAnsiTheme="minorHAnsi" w:cstheme="minorHAnsi"/>
                <w:sz w:val="22"/>
                <w:szCs w:val="22"/>
              </w:rPr>
              <w:t>.</w:t>
            </w:r>
            <w:r w:rsidR="00D74F53" w:rsidRPr="0096553B">
              <w:rPr>
                <w:rFonts w:asciiTheme="minorHAnsi" w:hAnsiTheme="minorHAnsi" w:cstheme="minorHAnsi"/>
                <w:sz w:val="22"/>
                <w:szCs w:val="22"/>
              </w:rPr>
              <w:t xml:space="preserve"> The Contractor shall support the Member’s right to choose the setting in which he/she receives care and shall work to ensure that the care received is in the least restrictive setting to ensure the Member’s health, safety and welfare.</w:t>
            </w:r>
            <w:r w:rsidR="00AA29B8" w:rsidRPr="0096553B">
              <w:rPr>
                <w:rFonts w:asciiTheme="minorHAnsi" w:hAnsiTheme="minorHAnsi" w:cstheme="minorHAnsi"/>
                <w:sz w:val="22"/>
                <w:szCs w:val="22"/>
              </w:rPr>
              <w:t>”</w:t>
            </w:r>
          </w:p>
        </w:tc>
        <w:tc>
          <w:tcPr>
            <w:tcW w:w="2096" w:type="pct"/>
            <w:shd w:val="clear" w:color="auto" w:fill="auto"/>
            <w:vAlign w:val="center"/>
          </w:tcPr>
          <w:p w14:paraId="42D7D2C7" w14:textId="77777777" w:rsidR="00BF36BA" w:rsidRPr="0096553B" w:rsidRDefault="009B1FE7" w:rsidP="00702D5F">
            <w:pPr>
              <w:rPr>
                <w:rFonts w:asciiTheme="minorHAnsi" w:hAnsiTheme="minorHAnsi" w:cstheme="minorHAnsi"/>
                <w:sz w:val="22"/>
                <w:szCs w:val="22"/>
              </w:rPr>
            </w:pPr>
            <w:r w:rsidRPr="0096553B">
              <w:rPr>
                <w:rFonts w:asciiTheme="minorHAnsi" w:hAnsiTheme="minorHAnsi" w:cstheme="minorHAnsi"/>
                <w:sz w:val="22"/>
                <w:szCs w:val="22"/>
              </w:rPr>
              <w:t xml:space="preserve">This provision implies that the Contractor does not have </w:t>
            </w:r>
            <w:r w:rsidR="00DF4FA0" w:rsidRPr="0096553B">
              <w:rPr>
                <w:rFonts w:asciiTheme="minorHAnsi" w:hAnsiTheme="minorHAnsi" w:cstheme="minorHAnsi"/>
                <w:sz w:val="22"/>
                <w:szCs w:val="22"/>
              </w:rPr>
              <w:t xml:space="preserve">to </w:t>
            </w:r>
            <w:r w:rsidRPr="0096553B">
              <w:rPr>
                <w:rFonts w:asciiTheme="minorHAnsi" w:hAnsiTheme="minorHAnsi" w:cstheme="minorHAnsi"/>
                <w:sz w:val="22"/>
                <w:szCs w:val="22"/>
              </w:rPr>
              <w:t xml:space="preserve">offer </w:t>
            </w:r>
            <w:r w:rsidR="002224BA" w:rsidRPr="0096553B">
              <w:rPr>
                <w:rFonts w:asciiTheme="minorHAnsi" w:hAnsiTheme="minorHAnsi" w:cstheme="minorHAnsi"/>
                <w:sz w:val="22"/>
                <w:szCs w:val="22"/>
              </w:rPr>
              <w:t xml:space="preserve">home-based services </w:t>
            </w:r>
            <w:r w:rsidRPr="0096553B">
              <w:rPr>
                <w:rFonts w:asciiTheme="minorHAnsi" w:hAnsiTheme="minorHAnsi" w:cstheme="minorHAnsi"/>
                <w:sz w:val="22"/>
                <w:szCs w:val="22"/>
              </w:rPr>
              <w:t xml:space="preserve">if the Contractor decides </w:t>
            </w:r>
            <w:r w:rsidR="002224BA" w:rsidRPr="0096553B">
              <w:rPr>
                <w:rFonts w:asciiTheme="minorHAnsi" w:hAnsiTheme="minorHAnsi" w:cstheme="minorHAnsi"/>
                <w:sz w:val="22"/>
                <w:szCs w:val="22"/>
              </w:rPr>
              <w:t>they</w:t>
            </w:r>
            <w:r w:rsidRPr="0096553B">
              <w:rPr>
                <w:rFonts w:asciiTheme="minorHAnsi" w:hAnsiTheme="minorHAnsi" w:cstheme="minorHAnsi"/>
                <w:sz w:val="22"/>
                <w:szCs w:val="22"/>
              </w:rPr>
              <w:t xml:space="preserve"> are inappropriate. </w:t>
            </w:r>
            <w:r w:rsidR="00D74F53" w:rsidRPr="0096553B">
              <w:rPr>
                <w:rFonts w:asciiTheme="minorHAnsi" w:hAnsiTheme="minorHAnsi" w:cstheme="minorHAnsi"/>
                <w:sz w:val="22"/>
                <w:szCs w:val="22"/>
              </w:rPr>
              <w:t xml:space="preserve">However, as the draft language goes on to state, the member has the right to make </w:t>
            </w:r>
            <w:r w:rsidR="00EA1381" w:rsidRPr="0096553B">
              <w:rPr>
                <w:rFonts w:asciiTheme="minorHAnsi" w:hAnsiTheme="minorHAnsi" w:cstheme="minorHAnsi"/>
                <w:sz w:val="22"/>
                <w:szCs w:val="22"/>
              </w:rPr>
              <w:t xml:space="preserve">their own </w:t>
            </w:r>
            <w:r w:rsidR="00D74F53" w:rsidRPr="0096553B">
              <w:rPr>
                <w:rFonts w:asciiTheme="minorHAnsi" w:hAnsiTheme="minorHAnsi" w:cstheme="minorHAnsi"/>
                <w:sz w:val="22"/>
                <w:szCs w:val="22"/>
              </w:rPr>
              <w:t>informed choices about the setting in which he or she lives and receives services.</w:t>
            </w:r>
            <w:r w:rsidR="0040094F" w:rsidRPr="0096553B">
              <w:rPr>
                <w:rFonts w:asciiTheme="minorHAnsi" w:hAnsiTheme="minorHAnsi" w:cstheme="minorHAnsi"/>
                <w:sz w:val="22"/>
                <w:szCs w:val="22"/>
              </w:rPr>
              <w:t xml:space="preserve"> Therefore, the Contractor should be required to offer home-based services regardless of the Contractor’s opinion.</w:t>
            </w:r>
          </w:p>
          <w:p w14:paraId="6CBDF023" w14:textId="77777777" w:rsidR="00DF4FA0" w:rsidRPr="0096553B" w:rsidRDefault="00DF4FA0" w:rsidP="00702D5F">
            <w:pPr>
              <w:rPr>
                <w:rFonts w:asciiTheme="minorHAnsi" w:hAnsiTheme="minorHAnsi" w:cstheme="minorHAnsi"/>
                <w:sz w:val="22"/>
                <w:szCs w:val="22"/>
              </w:rPr>
            </w:pPr>
          </w:p>
          <w:p w14:paraId="4DB2525E" w14:textId="77777777" w:rsidR="00DF4FA0" w:rsidRPr="0096553B" w:rsidRDefault="00DF4FA0" w:rsidP="00702D5F">
            <w:pPr>
              <w:rPr>
                <w:rFonts w:asciiTheme="minorHAnsi" w:hAnsiTheme="minorHAnsi" w:cstheme="minorHAnsi"/>
                <w:sz w:val="22"/>
                <w:szCs w:val="22"/>
              </w:rPr>
            </w:pPr>
            <w:r w:rsidRPr="0096553B">
              <w:rPr>
                <w:rFonts w:asciiTheme="minorHAnsi" w:hAnsiTheme="minorHAnsi" w:cstheme="minorHAnsi"/>
                <w:sz w:val="22"/>
                <w:szCs w:val="22"/>
              </w:rPr>
              <w:t>This provision also implies that the Contractor does not have to offer home-based services if they are not consistent with the member’s choice. However,</w:t>
            </w:r>
            <w:r w:rsidR="002A585C" w:rsidRPr="0096553B">
              <w:rPr>
                <w:rFonts w:asciiTheme="minorHAnsi" w:hAnsiTheme="minorHAnsi" w:cstheme="minorHAnsi"/>
                <w:sz w:val="22"/>
                <w:szCs w:val="22"/>
              </w:rPr>
              <w:t xml:space="preserve"> this poses a catch-22 because</w:t>
            </w:r>
            <w:r w:rsidRPr="0096553B">
              <w:rPr>
                <w:rFonts w:asciiTheme="minorHAnsi" w:hAnsiTheme="minorHAnsi" w:cstheme="minorHAnsi"/>
                <w:sz w:val="22"/>
                <w:szCs w:val="22"/>
              </w:rPr>
              <w:t xml:space="preserve"> the member has to first be informed of the option prior to being able to make an informed decision about what setting they would like.</w:t>
            </w:r>
            <w:r w:rsidR="0012497F" w:rsidRPr="0096553B">
              <w:rPr>
                <w:rFonts w:asciiTheme="minorHAnsi" w:hAnsiTheme="minorHAnsi" w:cstheme="minorHAnsi"/>
                <w:sz w:val="22"/>
                <w:szCs w:val="22"/>
              </w:rPr>
              <w:t xml:space="preserve"> Members may also change their decisions over time, so Contractors should be required to offer the option of home-based services regardless of the member’s previous decisions.</w:t>
            </w:r>
          </w:p>
        </w:tc>
        <w:tc>
          <w:tcPr>
            <w:tcW w:w="1559" w:type="pct"/>
            <w:shd w:val="clear" w:color="auto" w:fill="D9D9D9" w:themeFill="background1" w:themeFillShade="D9"/>
          </w:tcPr>
          <w:p w14:paraId="4D0ED077" w14:textId="77777777" w:rsidR="00BF36BA" w:rsidRPr="0096553B" w:rsidRDefault="00BF36BA" w:rsidP="00702D5F">
            <w:pPr>
              <w:rPr>
                <w:rFonts w:asciiTheme="minorHAnsi" w:hAnsiTheme="minorHAnsi" w:cs="Arial"/>
                <w:color w:val="FF0000"/>
                <w:sz w:val="22"/>
                <w:szCs w:val="22"/>
              </w:rPr>
            </w:pPr>
          </w:p>
        </w:tc>
      </w:tr>
      <w:tr w:rsidR="0026069A" w:rsidRPr="0096553B" w14:paraId="2A0D7FE3" w14:textId="77777777" w:rsidTr="00F23332">
        <w:trPr>
          <w:trHeight w:val="1353"/>
          <w:jc w:val="center"/>
        </w:trPr>
        <w:tc>
          <w:tcPr>
            <w:tcW w:w="432" w:type="pct"/>
            <w:shd w:val="clear" w:color="auto" w:fill="auto"/>
            <w:vAlign w:val="center"/>
          </w:tcPr>
          <w:p w14:paraId="24FB74B8" w14:textId="77777777" w:rsidR="0026069A" w:rsidRPr="0096553B" w:rsidRDefault="00AA29B8" w:rsidP="00702D5F">
            <w:pPr>
              <w:jc w:val="center"/>
              <w:rPr>
                <w:rFonts w:ascii="Calibri" w:hAnsi="Calibri"/>
                <w:color w:val="000000"/>
                <w:sz w:val="22"/>
                <w:szCs w:val="22"/>
              </w:rPr>
            </w:pPr>
            <w:r w:rsidRPr="0096553B">
              <w:rPr>
                <w:rFonts w:ascii="Calibri" w:hAnsi="Calibri"/>
                <w:color w:val="000000"/>
                <w:sz w:val="22"/>
                <w:szCs w:val="22"/>
              </w:rPr>
              <w:lastRenderedPageBreak/>
              <w:t xml:space="preserve">4.7.3.6,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61</w:t>
            </w:r>
          </w:p>
        </w:tc>
        <w:tc>
          <w:tcPr>
            <w:tcW w:w="913" w:type="pct"/>
            <w:shd w:val="clear" w:color="auto" w:fill="auto"/>
            <w:vAlign w:val="center"/>
          </w:tcPr>
          <w:p w14:paraId="5DB9825F" w14:textId="44C439FB" w:rsidR="0026069A" w:rsidRPr="0096553B" w:rsidRDefault="00A01CDB" w:rsidP="00FF1BB2">
            <w:pPr>
              <w:rPr>
                <w:rFonts w:ascii="Calibri" w:hAnsi="Calibri"/>
                <w:color w:val="000000"/>
                <w:sz w:val="22"/>
                <w:szCs w:val="22"/>
              </w:rPr>
            </w:pPr>
            <w:r w:rsidRPr="0096553B">
              <w:rPr>
                <w:rFonts w:asciiTheme="minorHAnsi" w:hAnsiTheme="minorHAnsi" w:cstheme="minorHAnsi"/>
                <w:sz w:val="22"/>
                <w:szCs w:val="22"/>
              </w:rPr>
              <w:t>“</w:t>
            </w:r>
            <w:r w:rsidR="00AA29B8" w:rsidRPr="0096553B">
              <w:rPr>
                <w:rFonts w:asciiTheme="minorHAnsi" w:hAnsiTheme="minorHAnsi" w:cstheme="minorHAnsi"/>
                <w:sz w:val="22"/>
                <w:szCs w:val="22"/>
              </w:rPr>
              <w:t>The Contractor shall review with the Nursing Facility</w:t>
            </w:r>
            <w:r w:rsidR="003D3FD5" w:rsidRPr="003D3FD5">
              <w:rPr>
                <w:rFonts w:asciiTheme="minorHAnsi" w:hAnsiTheme="minorHAnsi" w:cstheme="minorHAnsi"/>
                <w:color w:val="FF0000"/>
                <w:sz w:val="22"/>
                <w:szCs w:val="22"/>
                <w:u w:val="single"/>
              </w:rPr>
              <w:t>,</w:t>
            </w:r>
            <w:r w:rsidR="00AA29B8" w:rsidRPr="003D3FD5">
              <w:rPr>
                <w:rFonts w:asciiTheme="minorHAnsi" w:hAnsiTheme="minorHAnsi" w:cstheme="minorHAnsi"/>
                <w:color w:val="FF0000"/>
                <w:sz w:val="22"/>
                <w:szCs w:val="22"/>
                <w:u w:val="single"/>
              </w:rPr>
              <w:t xml:space="preserve"> </w:t>
            </w:r>
            <w:r w:rsidR="00B36F16" w:rsidRPr="0096553B">
              <w:rPr>
                <w:rFonts w:asciiTheme="minorHAnsi" w:hAnsiTheme="minorHAnsi" w:cstheme="minorHAnsi"/>
                <w:color w:val="FF0000"/>
                <w:sz w:val="22"/>
                <w:szCs w:val="22"/>
                <w:u w:val="single"/>
              </w:rPr>
              <w:t>and the member</w:t>
            </w:r>
            <w:r w:rsidR="003D3FD5">
              <w:rPr>
                <w:rFonts w:asciiTheme="minorHAnsi" w:hAnsiTheme="minorHAnsi" w:cstheme="minorHAnsi"/>
                <w:color w:val="FF0000"/>
                <w:sz w:val="22"/>
                <w:szCs w:val="22"/>
                <w:u w:val="single"/>
              </w:rPr>
              <w:t xml:space="preserve"> or the member’s representative,</w:t>
            </w:r>
            <w:r w:rsidR="00B36F16" w:rsidRPr="0096553B">
              <w:rPr>
                <w:rFonts w:asciiTheme="minorHAnsi" w:hAnsiTheme="minorHAnsi" w:cstheme="minorHAnsi"/>
                <w:color w:val="FF0000"/>
                <w:sz w:val="22"/>
                <w:szCs w:val="22"/>
                <w:u w:val="single"/>
              </w:rPr>
              <w:t xml:space="preserve"> </w:t>
            </w:r>
            <w:r w:rsidR="00AA29B8" w:rsidRPr="0096553B">
              <w:rPr>
                <w:rFonts w:asciiTheme="minorHAnsi" w:hAnsiTheme="minorHAnsi" w:cstheme="minorHAnsi"/>
                <w:sz w:val="22"/>
                <w:szCs w:val="22"/>
              </w:rPr>
              <w:t>on at least a quarterly basis (or at such time as the interest is expressed by the Member) and whenever the Member expresses an interest in being discharged, any and all options for discharge from the Nursing Facility.”</w:t>
            </w:r>
          </w:p>
        </w:tc>
        <w:tc>
          <w:tcPr>
            <w:tcW w:w="2096" w:type="pct"/>
            <w:shd w:val="clear" w:color="auto" w:fill="auto"/>
            <w:vAlign w:val="center"/>
          </w:tcPr>
          <w:p w14:paraId="30CB53F3" w14:textId="77777777" w:rsidR="0026069A" w:rsidRPr="0096553B" w:rsidRDefault="00B408E7" w:rsidP="00702D5F">
            <w:pPr>
              <w:rPr>
                <w:rFonts w:ascii="Calibri" w:hAnsi="Calibri"/>
                <w:color w:val="000000"/>
                <w:sz w:val="22"/>
                <w:szCs w:val="22"/>
              </w:rPr>
            </w:pPr>
            <w:r w:rsidRPr="0096553B">
              <w:rPr>
                <w:rFonts w:ascii="Calibri" w:hAnsi="Calibri"/>
                <w:color w:val="000000"/>
                <w:sz w:val="22"/>
                <w:szCs w:val="22"/>
              </w:rPr>
              <w:t>VBPD is pleased that the Department added the requirement that the Contractor review discharge options whenever the member expresses an interest, in response to our feedback last year.</w:t>
            </w:r>
          </w:p>
          <w:p w14:paraId="0360582A" w14:textId="77777777" w:rsidR="00B408E7" w:rsidRPr="0096553B" w:rsidRDefault="00B408E7" w:rsidP="00702D5F">
            <w:pPr>
              <w:rPr>
                <w:rFonts w:ascii="Calibri" w:hAnsi="Calibri"/>
                <w:color w:val="000000"/>
                <w:sz w:val="22"/>
                <w:szCs w:val="22"/>
              </w:rPr>
            </w:pPr>
          </w:p>
          <w:p w14:paraId="6F44D52A" w14:textId="2DA7D932" w:rsidR="00B408E7" w:rsidRPr="0096553B" w:rsidRDefault="00CF3380" w:rsidP="00551CA6">
            <w:pPr>
              <w:rPr>
                <w:rFonts w:ascii="Calibri" w:hAnsi="Calibri"/>
                <w:color w:val="000000"/>
                <w:sz w:val="22"/>
                <w:szCs w:val="22"/>
              </w:rPr>
            </w:pPr>
            <w:r w:rsidRPr="0096553B">
              <w:rPr>
                <w:rFonts w:ascii="Calibri" w:hAnsi="Calibri"/>
                <w:color w:val="000000"/>
                <w:sz w:val="22"/>
                <w:szCs w:val="22"/>
              </w:rPr>
              <w:t xml:space="preserve">This provision </w:t>
            </w:r>
            <w:r w:rsidR="00551CA6">
              <w:rPr>
                <w:rFonts w:ascii="Calibri" w:hAnsi="Calibri"/>
                <w:color w:val="000000"/>
                <w:sz w:val="22"/>
                <w:szCs w:val="22"/>
              </w:rPr>
              <w:t xml:space="preserve">should </w:t>
            </w:r>
            <w:r w:rsidRPr="0096553B">
              <w:rPr>
                <w:rFonts w:ascii="Calibri" w:hAnsi="Calibri"/>
                <w:color w:val="000000"/>
                <w:sz w:val="22"/>
                <w:szCs w:val="22"/>
              </w:rPr>
              <w:t>be further strengthened by requiring that the Contractor also review discharge options with the member</w:t>
            </w:r>
            <w:r w:rsidR="00633949">
              <w:rPr>
                <w:rFonts w:ascii="Calibri" w:hAnsi="Calibri"/>
                <w:color w:val="000000"/>
                <w:sz w:val="22"/>
                <w:szCs w:val="22"/>
              </w:rPr>
              <w:t xml:space="preserve"> or the member’s representative</w:t>
            </w:r>
            <w:r w:rsidRPr="0096553B">
              <w:rPr>
                <w:rFonts w:ascii="Calibri" w:hAnsi="Calibri"/>
                <w:color w:val="000000"/>
                <w:sz w:val="22"/>
                <w:szCs w:val="22"/>
              </w:rPr>
              <w:t xml:space="preserve">, not just the provider. This change </w:t>
            </w:r>
            <w:r w:rsidR="005767B1" w:rsidRPr="0096553B">
              <w:rPr>
                <w:rFonts w:ascii="Calibri" w:hAnsi="Calibri"/>
                <w:color w:val="000000"/>
                <w:sz w:val="22"/>
                <w:szCs w:val="22"/>
              </w:rPr>
              <w:t>would ensure</w:t>
            </w:r>
            <w:r w:rsidRPr="0096553B">
              <w:rPr>
                <w:rFonts w:ascii="Calibri" w:hAnsi="Calibri"/>
                <w:color w:val="000000"/>
                <w:sz w:val="22"/>
                <w:szCs w:val="22"/>
              </w:rPr>
              <w:t xml:space="preserve"> that the member is made aware of</w:t>
            </w:r>
            <w:r w:rsidR="005767B1" w:rsidRPr="0096553B">
              <w:rPr>
                <w:rFonts w:ascii="Calibri" w:hAnsi="Calibri"/>
                <w:color w:val="000000"/>
                <w:sz w:val="22"/>
                <w:szCs w:val="22"/>
              </w:rPr>
              <w:t>, and reminded of,</w:t>
            </w:r>
            <w:r w:rsidRPr="0096553B">
              <w:rPr>
                <w:rFonts w:ascii="Calibri" w:hAnsi="Calibri"/>
                <w:color w:val="000000"/>
                <w:sz w:val="22"/>
                <w:szCs w:val="22"/>
              </w:rPr>
              <w:t xml:space="preserve"> their right to choose a different setting</w:t>
            </w:r>
            <w:r w:rsidR="005767B1" w:rsidRPr="0096553B">
              <w:rPr>
                <w:rFonts w:ascii="Calibri" w:hAnsi="Calibri"/>
                <w:color w:val="000000"/>
                <w:sz w:val="22"/>
                <w:szCs w:val="22"/>
              </w:rPr>
              <w:t xml:space="preserve">. </w:t>
            </w:r>
            <w:r w:rsidR="000A5DD9" w:rsidRPr="0096553B">
              <w:rPr>
                <w:rFonts w:ascii="Calibri" w:hAnsi="Calibri"/>
                <w:color w:val="000000"/>
                <w:sz w:val="22"/>
                <w:szCs w:val="22"/>
              </w:rPr>
              <w:t xml:space="preserve">This is especially important given that one of the triggers for reviewing discharge options is “at such time as the interest is expressed by the member.” </w:t>
            </w:r>
            <w:r w:rsidR="005767B1" w:rsidRPr="0096553B">
              <w:rPr>
                <w:rFonts w:ascii="Calibri" w:hAnsi="Calibri"/>
                <w:color w:val="000000"/>
                <w:sz w:val="22"/>
                <w:szCs w:val="22"/>
              </w:rPr>
              <w:t>This change would also ensure that the Contractor considers the member’s desires during the review, rather than just those of the provider who has a conflict-of-interest.</w:t>
            </w:r>
          </w:p>
        </w:tc>
        <w:tc>
          <w:tcPr>
            <w:tcW w:w="1559" w:type="pct"/>
            <w:shd w:val="clear" w:color="auto" w:fill="D9D9D9" w:themeFill="background1" w:themeFillShade="D9"/>
          </w:tcPr>
          <w:p w14:paraId="31692718" w14:textId="77777777" w:rsidR="0026069A" w:rsidRPr="0096553B" w:rsidRDefault="0026069A" w:rsidP="00702D5F">
            <w:pPr>
              <w:rPr>
                <w:rFonts w:asciiTheme="minorHAnsi" w:hAnsiTheme="minorHAnsi" w:cs="Arial"/>
                <w:color w:val="FF0000"/>
                <w:sz w:val="22"/>
                <w:szCs w:val="22"/>
              </w:rPr>
            </w:pPr>
          </w:p>
        </w:tc>
      </w:tr>
      <w:tr w:rsidR="0026069A" w:rsidRPr="0096553B" w14:paraId="33AE5771" w14:textId="77777777" w:rsidTr="00F23332">
        <w:trPr>
          <w:trHeight w:val="1353"/>
          <w:jc w:val="center"/>
        </w:trPr>
        <w:tc>
          <w:tcPr>
            <w:tcW w:w="432" w:type="pct"/>
            <w:shd w:val="clear" w:color="auto" w:fill="auto"/>
            <w:vAlign w:val="center"/>
          </w:tcPr>
          <w:p w14:paraId="62EFFBD5" w14:textId="77777777" w:rsidR="0026069A" w:rsidRPr="0096553B" w:rsidRDefault="00C473B7"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4.7.6,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64</w:t>
            </w:r>
          </w:p>
        </w:tc>
        <w:tc>
          <w:tcPr>
            <w:tcW w:w="913" w:type="pct"/>
            <w:shd w:val="clear" w:color="auto" w:fill="auto"/>
            <w:vAlign w:val="center"/>
          </w:tcPr>
          <w:p w14:paraId="2B9D0873" w14:textId="24349010" w:rsidR="0026069A" w:rsidRPr="0096553B" w:rsidRDefault="00C473B7"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7E2C53">
              <w:rPr>
                <w:rFonts w:asciiTheme="minorHAnsi" w:hAnsiTheme="minorHAnsi" w:cstheme="minorHAnsi"/>
                <w:strike/>
                <w:color w:val="FF0000"/>
                <w:sz w:val="22"/>
                <w:szCs w:val="22"/>
              </w:rPr>
              <w:t xml:space="preserve">Eligible </w:t>
            </w:r>
            <w:r w:rsidRPr="0096553B">
              <w:rPr>
                <w:rFonts w:asciiTheme="minorHAnsi" w:hAnsiTheme="minorHAnsi" w:cstheme="minorHAnsi"/>
                <w:color w:val="000000"/>
                <w:sz w:val="22"/>
                <w:szCs w:val="22"/>
              </w:rPr>
              <w:t>CCC Plus Waiver Members</w:t>
            </w:r>
            <w:r w:rsidR="00331AFF">
              <w:rPr>
                <w:rFonts w:asciiTheme="minorHAnsi" w:hAnsiTheme="minorHAnsi" w:cstheme="minorHAnsi"/>
                <w:color w:val="000000"/>
                <w:sz w:val="22"/>
                <w:szCs w:val="22"/>
              </w:rPr>
              <w:t xml:space="preserve"> </w:t>
            </w:r>
            <w:r w:rsidR="007E2C53" w:rsidRPr="007E2C53">
              <w:rPr>
                <w:rFonts w:asciiTheme="minorHAnsi" w:hAnsiTheme="minorHAnsi" w:cstheme="minorHAnsi"/>
                <w:color w:val="FF0000"/>
                <w:sz w:val="22"/>
                <w:szCs w:val="22"/>
                <w:u w:val="single"/>
              </w:rPr>
              <w:t>who are eligible</w:t>
            </w:r>
            <w:r w:rsidR="007E2C53" w:rsidRPr="007E2C53">
              <w:rPr>
                <w:rFonts w:asciiTheme="minorHAnsi" w:hAnsiTheme="minorHAnsi" w:cstheme="minorHAnsi"/>
                <w:color w:val="FF0000"/>
                <w:sz w:val="22"/>
                <w:szCs w:val="22"/>
              </w:rPr>
              <w:t xml:space="preserve"> </w:t>
            </w:r>
            <w:r w:rsidR="00331AFF" w:rsidRPr="00331AFF">
              <w:rPr>
                <w:rFonts w:asciiTheme="minorHAnsi" w:hAnsiTheme="minorHAnsi" w:cstheme="minorHAnsi"/>
                <w:color w:val="FF0000"/>
                <w:sz w:val="22"/>
                <w:szCs w:val="22"/>
                <w:u w:val="single"/>
              </w:rPr>
              <w:t>per</w:t>
            </w:r>
            <w:r w:rsidRPr="00331AFF">
              <w:rPr>
                <w:rFonts w:asciiTheme="minorHAnsi" w:hAnsiTheme="minorHAnsi" w:cstheme="minorHAnsi"/>
                <w:color w:val="FF0000"/>
                <w:sz w:val="22"/>
                <w:szCs w:val="22"/>
                <w:u w:val="single"/>
              </w:rPr>
              <w:t xml:space="preserve"> </w:t>
            </w:r>
            <w:r w:rsidR="00331AFF" w:rsidRPr="00331AFF">
              <w:rPr>
                <w:rFonts w:asciiTheme="minorHAnsi" w:hAnsiTheme="minorHAnsi" w:cstheme="minorHAnsi"/>
                <w:color w:val="FF0000"/>
                <w:sz w:val="22"/>
                <w:szCs w:val="22"/>
                <w:u w:val="single"/>
              </w:rPr>
              <w:t>12</w:t>
            </w:r>
            <w:r w:rsidR="00FF1BB2">
              <w:rPr>
                <w:rFonts w:asciiTheme="minorHAnsi" w:hAnsiTheme="minorHAnsi" w:cstheme="minorHAnsi"/>
                <w:color w:val="FF0000"/>
                <w:sz w:val="22"/>
                <w:szCs w:val="22"/>
                <w:u w:val="single"/>
              </w:rPr>
              <w:t xml:space="preserve"> </w:t>
            </w:r>
            <w:r w:rsidR="00331AFF" w:rsidRPr="00331AFF">
              <w:rPr>
                <w:rFonts w:asciiTheme="minorHAnsi" w:hAnsiTheme="minorHAnsi" w:cstheme="minorHAnsi"/>
                <w:color w:val="FF0000"/>
                <w:sz w:val="22"/>
                <w:szCs w:val="22"/>
                <w:u w:val="single"/>
              </w:rPr>
              <w:t>VAC30-120-924.B</w:t>
            </w:r>
            <w:r w:rsidR="004D7967" w:rsidRPr="0096553B">
              <w:rPr>
                <w:rFonts w:asciiTheme="minorHAnsi" w:hAnsiTheme="minorHAnsi" w:cstheme="minorHAnsi"/>
                <w:color w:val="FF0000"/>
                <w:sz w:val="22"/>
                <w:szCs w:val="22"/>
                <w:u w:val="single"/>
              </w:rPr>
              <w:t xml:space="preserve"> </w:t>
            </w:r>
            <w:r w:rsidRPr="0096553B">
              <w:rPr>
                <w:rFonts w:asciiTheme="minorHAnsi" w:hAnsiTheme="minorHAnsi" w:cstheme="minorHAnsi"/>
                <w:color w:val="000000"/>
                <w:sz w:val="22"/>
                <w:szCs w:val="22"/>
              </w:rPr>
              <w:t xml:space="preserve">may choose the Consumer-Directed model of service delivery </w:t>
            </w:r>
            <w:r w:rsidRPr="00B843F5">
              <w:rPr>
                <w:rFonts w:asciiTheme="minorHAnsi" w:hAnsiTheme="minorHAnsi" w:cstheme="minorHAnsi"/>
                <w:sz w:val="22"/>
                <w:szCs w:val="22"/>
              </w:rPr>
              <w:t xml:space="preserve">for their personal care and respite </w:t>
            </w:r>
            <w:r w:rsidRPr="0096553B">
              <w:rPr>
                <w:rFonts w:asciiTheme="minorHAnsi" w:hAnsiTheme="minorHAnsi" w:cstheme="minorHAnsi"/>
                <w:color w:val="000000"/>
                <w:sz w:val="22"/>
                <w:szCs w:val="22"/>
              </w:rPr>
              <w:t xml:space="preserve">services in which the Member, or someone designated by the Member, employs attendants and directs their </w:t>
            </w:r>
            <w:r w:rsidRPr="0096553B">
              <w:rPr>
                <w:rFonts w:asciiTheme="minorHAnsi" w:hAnsiTheme="minorHAnsi" w:cstheme="minorHAnsi"/>
                <w:color w:val="000000"/>
                <w:sz w:val="22"/>
                <w:szCs w:val="22"/>
              </w:rPr>
              <w:lastRenderedPageBreak/>
              <w:t>care.”</w:t>
            </w:r>
          </w:p>
        </w:tc>
        <w:tc>
          <w:tcPr>
            <w:tcW w:w="2096" w:type="pct"/>
            <w:shd w:val="clear" w:color="auto" w:fill="auto"/>
            <w:vAlign w:val="center"/>
          </w:tcPr>
          <w:p w14:paraId="4259F719" w14:textId="283DBA76" w:rsidR="0026069A" w:rsidRPr="0096553B" w:rsidRDefault="00685EF7" w:rsidP="00331AFF">
            <w:pPr>
              <w:rPr>
                <w:rFonts w:asciiTheme="minorHAnsi" w:hAnsiTheme="minorHAnsi" w:cstheme="minorHAnsi"/>
                <w:color w:val="000000"/>
                <w:sz w:val="22"/>
                <w:szCs w:val="22"/>
              </w:rPr>
            </w:pPr>
            <w:r w:rsidRPr="0096553B">
              <w:rPr>
                <w:rFonts w:asciiTheme="minorHAnsi" w:hAnsiTheme="minorHAnsi" w:cstheme="minorHAnsi"/>
                <w:sz w:val="22"/>
                <w:szCs w:val="22"/>
              </w:rPr>
              <w:lastRenderedPageBreak/>
              <w:t xml:space="preserve">This provision </w:t>
            </w:r>
            <w:r w:rsidR="00331AFF">
              <w:rPr>
                <w:rFonts w:asciiTheme="minorHAnsi" w:hAnsiTheme="minorHAnsi" w:cstheme="minorHAnsi"/>
                <w:sz w:val="22"/>
                <w:szCs w:val="22"/>
              </w:rPr>
              <w:t xml:space="preserve">does not specify what makes a member eligible for consumer-directed services, leaving </w:t>
            </w:r>
            <w:r w:rsidR="007B6238">
              <w:rPr>
                <w:rFonts w:asciiTheme="minorHAnsi" w:hAnsiTheme="minorHAnsi" w:cstheme="minorHAnsi"/>
                <w:sz w:val="22"/>
                <w:szCs w:val="22"/>
              </w:rPr>
              <w:t xml:space="preserve">open </w:t>
            </w:r>
            <w:r w:rsidR="00331AFF">
              <w:rPr>
                <w:rFonts w:asciiTheme="minorHAnsi" w:hAnsiTheme="minorHAnsi" w:cstheme="minorHAnsi"/>
                <w:sz w:val="22"/>
                <w:szCs w:val="22"/>
              </w:rPr>
              <w:t>the possibility for a Contractor to interpret eligibility differently than intended</w:t>
            </w:r>
            <w:r w:rsidR="00C473B7" w:rsidRPr="0096553B">
              <w:rPr>
                <w:rFonts w:asciiTheme="minorHAnsi" w:hAnsiTheme="minorHAnsi" w:cstheme="minorHAnsi"/>
                <w:sz w:val="22"/>
                <w:szCs w:val="22"/>
              </w:rPr>
              <w:t>.</w:t>
            </w:r>
            <w:r w:rsidR="008D527D">
              <w:rPr>
                <w:rFonts w:asciiTheme="minorHAnsi" w:hAnsiTheme="minorHAnsi" w:cstheme="minorHAnsi"/>
                <w:sz w:val="22"/>
                <w:szCs w:val="22"/>
              </w:rPr>
              <w:t xml:space="preserve"> The revision clarifies that eligibility is based on 12VAC30-120-924.B</w:t>
            </w:r>
            <w:r w:rsidR="0060040D">
              <w:rPr>
                <w:rFonts w:asciiTheme="minorHAnsi" w:hAnsiTheme="minorHAnsi" w:cstheme="minorHAnsi"/>
                <w:sz w:val="22"/>
                <w:szCs w:val="22"/>
              </w:rPr>
              <w:t>, for which the Contractor is required to develop</w:t>
            </w:r>
            <w:r w:rsidR="00227C89">
              <w:rPr>
                <w:rFonts w:asciiTheme="minorHAnsi" w:hAnsiTheme="minorHAnsi" w:cstheme="minorHAnsi"/>
                <w:sz w:val="22"/>
                <w:szCs w:val="22"/>
              </w:rPr>
              <w:t xml:space="preserve"> related</w:t>
            </w:r>
            <w:r w:rsidR="0060040D">
              <w:rPr>
                <w:rFonts w:asciiTheme="minorHAnsi" w:hAnsiTheme="minorHAnsi" w:cstheme="minorHAnsi"/>
                <w:sz w:val="22"/>
                <w:szCs w:val="22"/>
              </w:rPr>
              <w:t xml:space="preserve"> policies and procedures per section 4.7.2.8 of the contract</w:t>
            </w:r>
            <w:r w:rsidR="008D527D">
              <w:rPr>
                <w:rFonts w:asciiTheme="minorHAnsi" w:hAnsiTheme="minorHAnsi" w:cstheme="minorHAnsi"/>
                <w:sz w:val="22"/>
                <w:szCs w:val="22"/>
              </w:rPr>
              <w:t xml:space="preserve">. </w:t>
            </w:r>
          </w:p>
        </w:tc>
        <w:tc>
          <w:tcPr>
            <w:tcW w:w="1559" w:type="pct"/>
            <w:shd w:val="clear" w:color="auto" w:fill="D9D9D9" w:themeFill="background1" w:themeFillShade="D9"/>
          </w:tcPr>
          <w:p w14:paraId="10695353" w14:textId="77777777" w:rsidR="0026069A" w:rsidRPr="0096553B" w:rsidRDefault="0026069A" w:rsidP="00702D5F">
            <w:pPr>
              <w:rPr>
                <w:rFonts w:asciiTheme="minorHAnsi" w:hAnsiTheme="minorHAnsi" w:cs="Arial"/>
                <w:color w:val="FF0000"/>
                <w:sz w:val="22"/>
                <w:szCs w:val="22"/>
                <w:u w:val="double"/>
              </w:rPr>
            </w:pPr>
          </w:p>
        </w:tc>
      </w:tr>
      <w:tr w:rsidR="009D0D6E" w:rsidRPr="0096553B" w14:paraId="34A60B1C" w14:textId="77777777" w:rsidTr="00F23332">
        <w:trPr>
          <w:trHeight w:val="1353"/>
          <w:jc w:val="center"/>
        </w:trPr>
        <w:tc>
          <w:tcPr>
            <w:tcW w:w="432" w:type="pct"/>
            <w:shd w:val="clear" w:color="auto" w:fill="auto"/>
            <w:vAlign w:val="center"/>
          </w:tcPr>
          <w:p w14:paraId="425D5E0C" w14:textId="77777777" w:rsidR="009D0D6E" w:rsidRPr="0096553B" w:rsidRDefault="009D0D6E" w:rsidP="00702D5F">
            <w:pPr>
              <w:jc w:val="center"/>
              <w:rPr>
                <w:rFonts w:ascii="Calibri" w:hAnsi="Calibri"/>
                <w:color w:val="000000"/>
                <w:sz w:val="22"/>
                <w:szCs w:val="22"/>
              </w:rPr>
            </w:pPr>
            <w:r w:rsidRPr="0096553B">
              <w:rPr>
                <w:rFonts w:ascii="Calibri" w:hAnsi="Calibri"/>
                <w:color w:val="000000"/>
                <w:sz w:val="22"/>
                <w:szCs w:val="22"/>
              </w:rPr>
              <w:lastRenderedPageBreak/>
              <w:t xml:space="preserve">4.10,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86-7</w:t>
            </w:r>
          </w:p>
          <w:p w14:paraId="12EDBD97" w14:textId="77777777" w:rsidR="009D0D6E" w:rsidRPr="0096553B" w:rsidRDefault="009D0D6E" w:rsidP="00702D5F">
            <w:pPr>
              <w:jc w:val="center"/>
              <w:rPr>
                <w:rFonts w:ascii="Calibri" w:hAnsi="Calibri"/>
                <w:color w:val="000000"/>
                <w:sz w:val="22"/>
                <w:szCs w:val="22"/>
              </w:rPr>
            </w:pPr>
            <w:r w:rsidRPr="0096553B">
              <w:rPr>
                <w:rFonts w:ascii="Calibri" w:hAnsi="Calibri"/>
                <w:color w:val="000000"/>
                <w:sz w:val="22"/>
                <w:szCs w:val="22"/>
              </w:rPr>
              <w:t xml:space="preserve">4.10.28,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101</w:t>
            </w:r>
          </w:p>
          <w:p w14:paraId="458F0B6B" w14:textId="77777777" w:rsidR="009D0D6E" w:rsidRPr="0096553B" w:rsidRDefault="009D0D6E" w:rsidP="00702D5F">
            <w:pPr>
              <w:jc w:val="center"/>
              <w:rPr>
                <w:rFonts w:ascii="Calibri" w:hAnsi="Calibri"/>
                <w:color w:val="000000"/>
                <w:sz w:val="22"/>
                <w:szCs w:val="22"/>
              </w:rPr>
            </w:pPr>
            <w:r w:rsidRPr="0096553B">
              <w:rPr>
                <w:rFonts w:ascii="Calibri" w:hAnsi="Calibri"/>
                <w:color w:val="000000"/>
                <w:sz w:val="22"/>
                <w:szCs w:val="22"/>
              </w:rPr>
              <w:t xml:space="preserve">4.10.28.1,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102</w:t>
            </w:r>
          </w:p>
          <w:p w14:paraId="1BB5DF3D" w14:textId="77777777" w:rsidR="009D0D6E" w:rsidRPr="0096553B" w:rsidRDefault="009D0D6E" w:rsidP="00702D5F">
            <w:pPr>
              <w:jc w:val="center"/>
              <w:rPr>
                <w:rFonts w:ascii="Calibri" w:hAnsi="Calibri"/>
                <w:color w:val="000000"/>
                <w:sz w:val="22"/>
                <w:szCs w:val="22"/>
              </w:rPr>
            </w:pPr>
            <w:r w:rsidRPr="0096553B">
              <w:rPr>
                <w:rFonts w:ascii="Calibri" w:hAnsi="Calibri"/>
                <w:color w:val="000000"/>
                <w:sz w:val="22"/>
                <w:szCs w:val="22"/>
              </w:rPr>
              <w:t xml:space="preserve">Att. 5,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3645</w:t>
            </w:r>
          </w:p>
        </w:tc>
        <w:tc>
          <w:tcPr>
            <w:tcW w:w="913" w:type="pct"/>
            <w:shd w:val="clear" w:color="auto" w:fill="auto"/>
            <w:vAlign w:val="center"/>
          </w:tcPr>
          <w:p w14:paraId="2B41F90F" w14:textId="77777777" w:rsidR="009D0D6E" w:rsidRPr="0096553B" w:rsidRDefault="009D0D6E" w:rsidP="00FF1BB2">
            <w:pPr>
              <w:rPr>
                <w:rFonts w:ascii="Calibri" w:hAnsi="Calibri"/>
                <w:color w:val="000000"/>
                <w:sz w:val="22"/>
                <w:szCs w:val="22"/>
              </w:rPr>
            </w:pPr>
            <w:r w:rsidRPr="0096553B">
              <w:rPr>
                <w:rFonts w:ascii="Calibri" w:hAnsi="Calibri"/>
                <w:color w:val="000000"/>
                <w:sz w:val="22"/>
                <w:szCs w:val="22"/>
              </w:rPr>
              <w:t>These sections repeatedly refer to the CL, BI, and FIS waivers as “ID/DD” waivers or “ID/DD/DS” waivers.</w:t>
            </w:r>
          </w:p>
        </w:tc>
        <w:tc>
          <w:tcPr>
            <w:tcW w:w="2096" w:type="pct"/>
            <w:shd w:val="clear" w:color="auto" w:fill="auto"/>
            <w:vAlign w:val="center"/>
          </w:tcPr>
          <w:p w14:paraId="1CFC7C62" w14:textId="77777777" w:rsidR="009D0D6E" w:rsidRPr="0096553B" w:rsidRDefault="009D0D6E" w:rsidP="00702D5F">
            <w:pPr>
              <w:rPr>
                <w:rFonts w:ascii="Calibri" w:hAnsi="Calibri"/>
                <w:color w:val="000000"/>
                <w:sz w:val="22"/>
                <w:szCs w:val="22"/>
              </w:rPr>
            </w:pPr>
            <w:r w:rsidRPr="0096553B">
              <w:rPr>
                <w:rFonts w:ascii="Calibri" w:hAnsi="Calibri"/>
                <w:color w:val="000000"/>
                <w:sz w:val="22"/>
                <w:szCs w:val="22"/>
              </w:rPr>
              <w:t>The Department should use the state’s current terminology of “DD waivers.” Reference to the old terminology throughout the contract may unnecessarily confuse individuals, particularly since the current terminology of “DD waivers” is used in other contract sections including 4.7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48-9), 4.7.4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62), 4.7.9.5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77), 4.11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102), 5.8.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118), 8.2.1.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153), 12.5.1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220), and Attachment 5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416-20). Reference to the old terminology also regresses to the practice of identifying and serving individuals based on diagnosis rather than need</w:t>
            </w:r>
            <w:r w:rsidR="00847B9F" w:rsidRPr="0096553B">
              <w:rPr>
                <w:rFonts w:ascii="Calibri" w:hAnsi="Calibri"/>
                <w:color w:val="000000"/>
                <w:sz w:val="22"/>
                <w:szCs w:val="22"/>
              </w:rPr>
              <w:t>, which the Commonwealth intentionally moved away from in its waiver redesign</w:t>
            </w:r>
            <w:r w:rsidRPr="0096553B">
              <w:rPr>
                <w:rFonts w:ascii="Calibri" w:hAnsi="Calibri"/>
                <w:color w:val="000000"/>
                <w:sz w:val="22"/>
                <w:szCs w:val="22"/>
              </w:rPr>
              <w:t>. If the Department is concerned that MCOs or members may not understand the connection between the DD waivers and the previous ID/DD/DS waivers, the best location to provide that context is the glossary.</w:t>
            </w:r>
          </w:p>
        </w:tc>
        <w:tc>
          <w:tcPr>
            <w:tcW w:w="1559" w:type="pct"/>
            <w:shd w:val="clear" w:color="auto" w:fill="D9D9D9" w:themeFill="background1" w:themeFillShade="D9"/>
          </w:tcPr>
          <w:p w14:paraId="1D3C7D77" w14:textId="77777777" w:rsidR="009D0D6E" w:rsidRPr="0096553B" w:rsidRDefault="009D0D6E" w:rsidP="00702D5F">
            <w:pPr>
              <w:rPr>
                <w:rFonts w:asciiTheme="minorHAnsi" w:hAnsiTheme="minorHAnsi" w:cs="Arial"/>
                <w:color w:val="FF0000"/>
                <w:sz w:val="22"/>
                <w:szCs w:val="22"/>
              </w:rPr>
            </w:pPr>
          </w:p>
        </w:tc>
      </w:tr>
      <w:tr w:rsidR="009D0D6E" w:rsidRPr="0096553B" w14:paraId="1E65D930" w14:textId="77777777" w:rsidTr="00F23332">
        <w:trPr>
          <w:trHeight w:val="1353"/>
          <w:jc w:val="center"/>
        </w:trPr>
        <w:tc>
          <w:tcPr>
            <w:tcW w:w="432" w:type="pct"/>
            <w:shd w:val="clear" w:color="auto" w:fill="auto"/>
            <w:vAlign w:val="center"/>
          </w:tcPr>
          <w:p w14:paraId="6104F295" w14:textId="77777777" w:rsidR="009D0D6E" w:rsidRPr="0096553B" w:rsidRDefault="009D0D6E"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4.10,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86</w:t>
            </w:r>
          </w:p>
        </w:tc>
        <w:tc>
          <w:tcPr>
            <w:tcW w:w="913" w:type="pct"/>
            <w:shd w:val="clear" w:color="auto" w:fill="auto"/>
            <w:vAlign w:val="center"/>
          </w:tcPr>
          <w:p w14:paraId="15DB2DED" w14:textId="77777777" w:rsidR="009D0D6E" w:rsidRPr="0096553B" w:rsidRDefault="009D0D6E" w:rsidP="00FF1BB2">
            <w:pPr>
              <w:rPr>
                <w:rFonts w:asciiTheme="minorHAnsi" w:hAnsiTheme="minorHAnsi" w:cstheme="minorHAnsi"/>
                <w:color w:val="000000"/>
                <w:sz w:val="22"/>
                <w:szCs w:val="22"/>
              </w:rPr>
            </w:pPr>
            <w:r w:rsidRPr="0096553B">
              <w:rPr>
                <w:rFonts w:asciiTheme="minorHAnsi" w:hAnsiTheme="minorHAnsi" w:cstheme="minorHAnsi"/>
                <w:sz w:val="22"/>
                <w:szCs w:val="22"/>
              </w:rPr>
              <w:t>“The Contractor shall not be responsible for transportation</w:t>
            </w:r>
            <w:r w:rsidRPr="0096553B">
              <w:rPr>
                <w:rFonts w:asciiTheme="minorHAnsi" w:hAnsiTheme="minorHAnsi" w:cstheme="minorHAnsi"/>
                <w:sz w:val="22"/>
                <w:szCs w:val="22"/>
                <w:u w:val="single"/>
              </w:rPr>
              <w:t xml:space="preserve"> </w:t>
            </w:r>
            <w:r w:rsidRPr="0096553B">
              <w:rPr>
                <w:rFonts w:asciiTheme="minorHAnsi" w:hAnsiTheme="minorHAnsi" w:cstheme="minorHAnsi"/>
                <w:color w:val="FF0000"/>
                <w:sz w:val="22"/>
                <w:szCs w:val="22"/>
                <w:u w:val="single"/>
              </w:rPr>
              <w:t>to DD waiver services</w:t>
            </w:r>
            <w:r w:rsidRPr="0096553B">
              <w:rPr>
                <w:rFonts w:asciiTheme="minorHAnsi" w:hAnsiTheme="minorHAnsi" w:cstheme="minorHAnsi"/>
                <w:color w:val="FF0000"/>
                <w:sz w:val="22"/>
                <w:szCs w:val="22"/>
              </w:rPr>
              <w:t xml:space="preserve"> </w:t>
            </w:r>
            <w:r w:rsidRPr="0096553B">
              <w:rPr>
                <w:rFonts w:asciiTheme="minorHAnsi" w:hAnsiTheme="minorHAnsi" w:cstheme="minorHAnsi"/>
                <w:sz w:val="22"/>
                <w:szCs w:val="22"/>
              </w:rPr>
              <w:t xml:space="preserve">for Members enrolled in the Community Living (CL), Building </w:t>
            </w:r>
            <w:r w:rsidRPr="0096553B">
              <w:rPr>
                <w:rFonts w:asciiTheme="minorHAnsi" w:hAnsiTheme="minorHAnsi" w:cstheme="minorHAnsi"/>
                <w:sz w:val="22"/>
                <w:szCs w:val="22"/>
              </w:rPr>
              <w:lastRenderedPageBreak/>
              <w:t>Independence (BI), and Family and Individual Supports (FIS) Intellectual and Developmental Disabilities (ID/DD) Waivers. Transportation</w:t>
            </w:r>
            <w:r w:rsidRPr="0096553B">
              <w:rPr>
                <w:rFonts w:asciiTheme="minorHAnsi" w:hAnsiTheme="minorHAnsi" w:cstheme="minorHAnsi"/>
                <w:color w:val="FF0000"/>
                <w:sz w:val="22"/>
                <w:szCs w:val="22"/>
                <w:u w:val="single"/>
              </w:rPr>
              <w:t xml:space="preserve"> to</w:t>
            </w:r>
            <w:r w:rsidRPr="0096553B">
              <w:rPr>
                <w:rFonts w:asciiTheme="minorHAnsi" w:hAnsiTheme="minorHAnsi" w:cstheme="minorHAnsi"/>
                <w:sz w:val="22"/>
                <w:szCs w:val="22"/>
              </w:rPr>
              <w:t xml:space="preserve"> CL, BI, FIS (ID/DD) waiver services for these Members will be paid through Medicaid Fee-For-Service as “carved out” services.”</w:t>
            </w:r>
          </w:p>
        </w:tc>
        <w:tc>
          <w:tcPr>
            <w:tcW w:w="2096" w:type="pct"/>
            <w:shd w:val="clear" w:color="auto" w:fill="auto"/>
            <w:vAlign w:val="center"/>
          </w:tcPr>
          <w:p w14:paraId="147D90E0" w14:textId="042C7455" w:rsidR="009D0D6E" w:rsidRPr="0096553B" w:rsidRDefault="009D0D6E"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 xml:space="preserve">The first sentence, as written, implies that the contractor does not have to provide any transportation services for these members. The revision clarifies that the contractor is </w:t>
            </w:r>
            <w:r w:rsidR="00225C52" w:rsidRPr="0096553B">
              <w:rPr>
                <w:rFonts w:asciiTheme="minorHAnsi" w:hAnsiTheme="minorHAnsi" w:cstheme="minorHAnsi"/>
                <w:color w:val="000000"/>
                <w:sz w:val="22"/>
                <w:szCs w:val="22"/>
              </w:rPr>
              <w:t xml:space="preserve">not </w:t>
            </w:r>
            <w:r w:rsidRPr="0096553B">
              <w:rPr>
                <w:rFonts w:asciiTheme="minorHAnsi" w:hAnsiTheme="minorHAnsi" w:cstheme="minorHAnsi"/>
                <w:color w:val="000000"/>
                <w:sz w:val="22"/>
                <w:szCs w:val="22"/>
              </w:rPr>
              <w:t xml:space="preserve">responsible for providing transportation to </w:t>
            </w:r>
            <w:r w:rsidR="00225C52" w:rsidRPr="0096553B">
              <w:rPr>
                <w:rFonts w:asciiTheme="minorHAnsi" w:hAnsiTheme="minorHAnsi" w:cstheme="minorHAnsi"/>
                <w:color w:val="000000"/>
                <w:sz w:val="22"/>
                <w:szCs w:val="22"/>
              </w:rPr>
              <w:t xml:space="preserve">DD waiver services, </w:t>
            </w:r>
            <w:r w:rsidR="008E5C46" w:rsidRPr="0096553B">
              <w:rPr>
                <w:rFonts w:asciiTheme="minorHAnsi" w:hAnsiTheme="minorHAnsi" w:cstheme="minorHAnsi"/>
                <w:color w:val="000000"/>
                <w:sz w:val="22"/>
                <w:szCs w:val="22"/>
              </w:rPr>
              <w:t xml:space="preserve">implying </w:t>
            </w:r>
            <w:r w:rsidR="00225C52" w:rsidRPr="0096553B">
              <w:rPr>
                <w:rFonts w:asciiTheme="minorHAnsi" w:hAnsiTheme="minorHAnsi" w:cstheme="minorHAnsi"/>
                <w:color w:val="000000"/>
                <w:sz w:val="22"/>
                <w:szCs w:val="22"/>
              </w:rPr>
              <w:t xml:space="preserve">that transportation to </w:t>
            </w:r>
            <w:r w:rsidRPr="0096553B">
              <w:rPr>
                <w:rFonts w:asciiTheme="minorHAnsi" w:hAnsiTheme="minorHAnsi" w:cstheme="minorHAnsi"/>
                <w:color w:val="000000"/>
                <w:sz w:val="22"/>
                <w:szCs w:val="22"/>
              </w:rPr>
              <w:t>non-DD waiver services</w:t>
            </w:r>
            <w:r w:rsidR="00225C52" w:rsidRPr="0096553B">
              <w:rPr>
                <w:rFonts w:asciiTheme="minorHAnsi" w:hAnsiTheme="minorHAnsi" w:cstheme="minorHAnsi"/>
                <w:color w:val="000000"/>
                <w:sz w:val="22"/>
                <w:szCs w:val="22"/>
              </w:rPr>
              <w:t xml:space="preserve"> is required</w:t>
            </w:r>
            <w:r w:rsidRPr="0096553B">
              <w:rPr>
                <w:rFonts w:asciiTheme="minorHAnsi" w:hAnsiTheme="minorHAnsi" w:cstheme="minorHAnsi"/>
                <w:color w:val="000000"/>
                <w:sz w:val="22"/>
                <w:szCs w:val="22"/>
              </w:rPr>
              <w:t>.</w:t>
            </w:r>
          </w:p>
          <w:p w14:paraId="302BA88F" w14:textId="77777777" w:rsidR="009D0D6E" w:rsidRPr="0096553B" w:rsidRDefault="009D0D6E" w:rsidP="00702D5F">
            <w:pPr>
              <w:rPr>
                <w:rFonts w:asciiTheme="minorHAnsi" w:hAnsiTheme="minorHAnsi" w:cstheme="minorHAnsi"/>
                <w:color w:val="000000"/>
                <w:sz w:val="22"/>
                <w:szCs w:val="22"/>
              </w:rPr>
            </w:pPr>
          </w:p>
          <w:p w14:paraId="15EE3EDB" w14:textId="77777777" w:rsidR="009D0D6E" w:rsidRPr="0096553B" w:rsidRDefault="009D0D6E"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The revision to the second sentence is to correct what appears to be a typo.</w:t>
            </w:r>
          </w:p>
        </w:tc>
        <w:tc>
          <w:tcPr>
            <w:tcW w:w="1559" w:type="pct"/>
            <w:shd w:val="clear" w:color="auto" w:fill="D9D9D9" w:themeFill="background1" w:themeFillShade="D9"/>
          </w:tcPr>
          <w:p w14:paraId="6FEE2748" w14:textId="77777777" w:rsidR="009D0D6E" w:rsidRPr="0096553B" w:rsidRDefault="009D0D6E" w:rsidP="00702D5F">
            <w:pPr>
              <w:rPr>
                <w:rFonts w:asciiTheme="minorHAnsi" w:hAnsiTheme="minorHAnsi" w:cs="Arial"/>
                <w:color w:val="FF0000"/>
                <w:sz w:val="22"/>
                <w:szCs w:val="22"/>
              </w:rPr>
            </w:pPr>
          </w:p>
        </w:tc>
      </w:tr>
      <w:tr w:rsidR="006876FA" w:rsidRPr="0096553B" w14:paraId="32E63DBA" w14:textId="77777777" w:rsidTr="00F23332">
        <w:trPr>
          <w:trHeight w:val="1353"/>
          <w:jc w:val="center"/>
        </w:trPr>
        <w:tc>
          <w:tcPr>
            <w:tcW w:w="432" w:type="pct"/>
            <w:shd w:val="clear" w:color="auto" w:fill="auto"/>
            <w:vAlign w:val="center"/>
          </w:tcPr>
          <w:p w14:paraId="4449CCCC" w14:textId="77777777" w:rsidR="006876FA" w:rsidRPr="0096553B" w:rsidRDefault="006876FA" w:rsidP="00702D5F">
            <w:pPr>
              <w:jc w:val="center"/>
              <w:rPr>
                <w:rFonts w:ascii="Calibri" w:hAnsi="Calibri"/>
                <w:color w:val="000000"/>
                <w:sz w:val="22"/>
                <w:szCs w:val="22"/>
              </w:rPr>
            </w:pPr>
            <w:r w:rsidRPr="0096553B">
              <w:rPr>
                <w:rFonts w:ascii="Calibri" w:hAnsi="Calibri"/>
                <w:color w:val="000000"/>
                <w:sz w:val="22"/>
                <w:szCs w:val="22"/>
              </w:rPr>
              <w:lastRenderedPageBreak/>
              <w:t xml:space="preserve">4.10.17,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94</w:t>
            </w:r>
          </w:p>
        </w:tc>
        <w:tc>
          <w:tcPr>
            <w:tcW w:w="913" w:type="pct"/>
            <w:shd w:val="clear" w:color="auto" w:fill="auto"/>
            <w:vAlign w:val="center"/>
          </w:tcPr>
          <w:p w14:paraId="5E427717" w14:textId="77777777" w:rsidR="006876FA" w:rsidRPr="0096553B" w:rsidRDefault="006876FA"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Members with a physical, sensory, intellectual, developmental, or cognitive disability.  Members with disabilities</w:t>
            </w:r>
            <w:r w:rsidRPr="0096553B">
              <w:rPr>
                <w:rFonts w:asciiTheme="minorHAnsi" w:hAnsiTheme="minorHAnsi" w:cstheme="minorHAnsi"/>
                <w:strike/>
                <w:color w:val="FF0000"/>
                <w:sz w:val="22"/>
                <w:szCs w:val="22"/>
              </w:rPr>
              <w:t>, especially those residing in nursing facilities, dialysis or attending Day Support programs or Adult Day Health Care programs,</w:t>
            </w:r>
            <w:r w:rsidRPr="0096553B">
              <w:rPr>
                <w:rFonts w:asciiTheme="minorHAnsi" w:hAnsiTheme="minorHAnsi" w:cstheme="minorHAnsi"/>
                <w:sz w:val="22"/>
                <w:szCs w:val="22"/>
              </w:rPr>
              <w:t xml:space="preserve"> may require door-to-door or hand-to-hand transportation assistance.”</w:t>
            </w:r>
          </w:p>
        </w:tc>
        <w:tc>
          <w:tcPr>
            <w:tcW w:w="2096" w:type="pct"/>
            <w:shd w:val="clear" w:color="auto" w:fill="auto"/>
            <w:vAlign w:val="center"/>
          </w:tcPr>
          <w:p w14:paraId="36DF840C" w14:textId="77777777" w:rsidR="006876FA" w:rsidRPr="0096553B" w:rsidRDefault="006876FA" w:rsidP="00702D5F">
            <w:pPr>
              <w:pStyle w:val="ListParagraph"/>
              <w:spacing w:after="0" w:line="240" w:lineRule="auto"/>
              <w:ind w:left="0"/>
              <w:rPr>
                <w:rFonts w:asciiTheme="minorHAnsi" w:hAnsiTheme="minorHAnsi" w:cstheme="minorHAnsi"/>
              </w:rPr>
            </w:pPr>
            <w:r w:rsidRPr="0096553B">
              <w:rPr>
                <w:rFonts w:asciiTheme="minorHAnsi" w:hAnsiTheme="minorHAnsi" w:cstheme="minorHAnsi"/>
              </w:rPr>
              <w:t>Other members with disabilities who are not addressed in the second sentence may also need additional levels of assistance, and are no less of a priority e.g., an individual with an intellectual disability who does not attend a day support or adult day health care program and who is traveling to a medical appointment.</w:t>
            </w:r>
          </w:p>
        </w:tc>
        <w:tc>
          <w:tcPr>
            <w:tcW w:w="1559" w:type="pct"/>
            <w:shd w:val="clear" w:color="auto" w:fill="D9D9D9" w:themeFill="background1" w:themeFillShade="D9"/>
          </w:tcPr>
          <w:p w14:paraId="37D9A045" w14:textId="77777777" w:rsidR="006876FA" w:rsidRPr="0096553B" w:rsidRDefault="006876FA" w:rsidP="00702D5F">
            <w:pPr>
              <w:rPr>
                <w:rFonts w:asciiTheme="minorHAnsi" w:hAnsiTheme="minorHAnsi" w:cs="Arial"/>
                <w:color w:val="FF0000"/>
                <w:sz w:val="22"/>
                <w:szCs w:val="22"/>
              </w:rPr>
            </w:pPr>
          </w:p>
        </w:tc>
      </w:tr>
      <w:tr w:rsidR="006876FA" w:rsidRPr="0096553B" w14:paraId="261F7C20" w14:textId="77777777" w:rsidTr="00F23332">
        <w:trPr>
          <w:trHeight w:val="1353"/>
          <w:jc w:val="center"/>
        </w:trPr>
        <w:tc>
          <w:tcPr>
            <w:tcW w:w="432" w:type="pct"/>
            <w:shd w:val="clear" w:color="auto" w:fill="auto"/>
            <w:vAlign w:val="center"/>
          </w:tcPr>
          <w:p w14:paraId="45DAC70F" w14:textId="77777777" w:rsidR="006876FA" w:rsidRPr="0096553B" w:rsidRDefault="006876FA" w:rsidP="00702D5F">
            <w:pPr>
              <w:jc w:val="center"/>
              <w:rPr>
                <w:rFonts w:asciiTheme="minorHAnsi" w:hAnsiTheme="minorHAnsi" w:cs="Arial"/>
                <w:sz w:val="22"/>
                <w:szCs w:val="22"/>
              </w:rPr>
            </w:pPr>
            <w:r w:rsidRPr="0096553B">
              <w:rPr>
                <w:rFonts w:asciiTheme="minorHAnsi" w:hAnsiTheme="minorHAnsi" w:cs="Arial"/>
                <w:sz w:val="22"/>
                <w:szCs w:val="22"/>
              </w:rPr>
              <w:lastRenderedPageBreak/>
              <w:t xml:space="preserve">4.10.17, </w:t>
            </w:r>
            <w:proofErr w:type="spellStart"/>
            <w:r w:rsidRPr="0096553B">
              <w:rPr>
                <w:rFonts w:asciiTheme="minorHAnsi" w:hAnsiTheme="minorHAnsi" w:cs="Arial"/>
                <w:sz w:val="22"/>
                <w:szCs w:val="22"/>
              </w:rPr>
              <w:t>pg</w:t>
            </w:r>
            <w:proofErr w:type="spellEnd"/>
            <w:r w:rsidRPr="0096553B">
              <w:rPr>
                <w:rFonts w:asciiTheme="minorHAnsi" w:hAnsiTheme="minorHAnsi" w:cs="Arial"/>
                <w:sz w:val="22"/>
                <w:szCs w:val="22"/>
              </w:rPr>
              <w:t xml:space="preserve"> 94</w:t>
            </w:r>
          </w:p>
        </w:tc>
        <w:tc>
          <w:tcPr>
            <w:tcW w:w="913" w:type="pct"/>
            <w:shd w:val="clear" w:color="auto" w:fill="auto"/>
            <w:vAlign w:val="center"/>
          </w:tcPr>
          <w:p w14:paraId="75137704" w14:textId="1F5F4945" w:rsidR="006876FA" w:rsidRPr="0096553B" w:rsidRDefault="006876FA"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“Consideration must be made regarding: 1. Level of Assistance - </w:t>
            </w:r>
            <w:r w:rsidRPr="0096553B">
              <w:rPr>
                <w:rFonts w:asciiTheme="minorHAnsi" w:hAnsiTheme="minorHAnsi" w:cstheme="minorHAnsi"/>
                <w:sz w:val="22"/>
                <w:szCs w:val="22"/>
              </w:rPr>
              <w:t>Member assistance requested or when necessitated by the Member’s mobility status or personal condition. This includes door-to-door and hand-to-hand assistance. Curb to Curb is the default level of assistance.</w:t>
            </w:r>
            <w:r w:rsidRPr="0096553B">
              <w:rPr>
                <w:rFonts w:asciiTheme="minorHAnsi" w:hAnsiTheme="minorHAnsi" w:cstheme="minorHAnsi"/>
                <w:color w:val="FF0000"/>
                <w:sz w:val="22"/>
                <w:szCs w:val="22"/>
                <w:u w:val="single"/>
              </w:rPr>
              <w:t xml:space="preserve"> At the time of scheduling, the Contractor </w:t>
            </w:r>
            <w:r w:rsidR="00BC12D6" w:rsidRPr="0096553B">
              <w:rPr>
                <w:rFonts w:asciiTheme="minorHAnsi" w:hAnsiTheme="minorHAnsi" w:cstheme="minorHAnsi"/>
                <w:color w:val="FF0000"/>
                <w:sz w:val="22"/>
                <w:szCs w:val="22"/>
                <w:u w:val="single"/>
              </w:rPr>
              <w:t xml:space="preserve">or their transportation broker </w:t>
            </w:r>
            <w:r w:rsidR="007442BF">
              <w:rPr>
                <w:rFonts w:asciiTheme="minorHAnsi" w:hAnsiTheme="minorHAnsi" w:cstheme="minorHAnsi"/>
                <w:color w:val="FF0000"/>
                <w:sz w:val="22"/>
                <w:szCs w:val="22"/>
                <w:u w:val="single"/>
              </w:rPr>
              <w:t>shall</w:t>
            </w:r>
            <w:r w:rsidRPr="0096553B">
              <w:rPr>
                <w:rFonts w:asciiTheme="minorHAnsi" w:hAnsiTheme="minorHAnsi" w:cstheme="minorHAnsi"/>
                <w:color w:val="FF0000"/>
                <w:sz w:val="22"/>
                <w:szCs w:val="22"/>
                <w:u w:val="single"/>
              </w:rPr>
              <w:t xml:space="preserve"> inform </w:t>
            </w:r>
            <w:r w:rsidR="00B72D01" w:rsidRPr="0096553B">
              <w:rPr>
                <w:rFonts w:asciiTheme="minorHAnsi" w:hAnsiTheme="minorHAnsi" w:cstheme="minorHAnsi"/>
                <w:color w:val="FF0000"/>
                <w:sz w:val="22"/>
                <w:szCs w:val="22"/>
                <w:u w:val="single"/>
              </w:rPr>
              <w:t xml:space="preserve">the </w:t>
            </w:r>
            <w:r w:rsidRPr="0096553B">
              <w:rPr>
                <w:rFonts w:asciiTheme="minorHAnsi" w:hAnsiTheme="minorHAnsi" w:cstheme="minorHAnsi"/>
                <w:color w:val="FF0000"/>
                <w:sz w:val="22"/>
                <w:szCs w:val="22"/>
                <w:u w:val="single"/>
              </w:rPr>
              <w:t>members</w:t>
            </w:r>
            <w:r w:rsidR="00FA6A89" w:rsidRPr="0096553B">
              <w:rPr>
                <w:rFonts w:asciiTheme="minorHAnsi" w:hAnsiTheme="minorHAnsi" w:cstheme="minorHAnsi"/>
                <w:color w:val="FF0000"/>
                <w:sz w:val="22"/>
                <w:szCs w:val="22"/>
                <w:u w:val="single"/>
              </w:rPr>
              <w:t xml:space="preserve"> or</w:t>
            </w:r>
            <w:r w:rsidR="00B72D01" w:rsidRPr="0096553B">
              <w:rPr>
                <w:rFonts w:asciiTheme="minorHAnsi" w:hAnsiTheme="minorHAnsi" w:cstheme="minorHAnsi"/>
                <w:color w:val="FF0000"/>
                <w:sz w:val="22"/>
                <w:szCs w:val="22"/>
                <w:u w:val="single"/>
              </w:rPr>
              <w:t xml:space="preserve"> the member’s representative</w:t>
            </w:r>
            <w:r w:rsidRPr="0096553B">
              <w:rPr>
                <w:rFonts w:asciiTheme="minorHAnsi" w:hAnsiTheme="minorHAnsi" w:cstheme="minorHAnsi"/>
                <w:color w:val="FF0000"/>
                <w:sz w:val="22"/>
                <w:szCs w:val="22"/>
                <w:u w:val="single"/>
              </w:rPr>
              <w:t xml:space="preserve"> of their righ</w:t>
            </w:r>
            <w:r w:rsidR="009C762E">
              <w:rPr>
                <w:rFonts w:asciiTheme="minorHAnsi" w:hAnsiTheme="minorHAnsi" w:cstheme="minorHAnsi"/>
                <w:color w:val="FF0000"/>
                <w:sz w:val="22"/>
                <w:szCs w:val="22"/>
                <w:u w:val="single"/>
              </w:rPr>
              <w:t>t to request assistance and shall</w:t>
            </w:r>
            <w:r w:rsidRPr="0096553B">
              <w:rPr>
                <w:rFonts w:asciiTheme="minorHAnsi" w:hAnsiTheme="minorHAnsi" w:cstheme="minorHAnsi"/>
                <w:color w:val="FF0000"/>
                <w:sz w:val="22"/>
                <w:szCs w:val="22"/>
                <w:u w:val="single"/>
              </w:rPr>
              <w:t xml:space="preserve"> solicit information from the member</w:t>
            </w:r>
            <w:r w:rsidR="00B72D01" w:rsidRPr="0096553B">
              <w:rPr>
                <w:rFonts w:asciiTheme="minorHAnsi" w:hAnsiTheme="minorHAnsi" w:cstheme="minorHAnsi"/>
                <w:color w:val="FF0000"/>
                <w:sz w:val="22"/>
                <w:szCs w:val="22"/>
                <w:u w:val="single"/>
              </w:rPr>
              <w:t xml:space="preserve"> or the member’s</w:t>
            </w:r>
            <w:r w:rsidR="00FA6A89" w:rsidRPr="0096553B">
              <w:rPr>
                <w:rFonts w:asciiTheme="minorHAnsi" w:hAnsiTheme="minorHAnsi" w:cstheme="minorHAnsi"/>
                <w:color w:val="FF0000"/>
                <w:sz w:val="22"/>
                <w:szCs w:val="22"/>
                <w:u w:val="single"/>
              </w:rPr>
              <w:t xml:space="preserve"> representative</w:t>
            </w:r>
            <w:r w:rsidR="005356A1" w:rsidRPr="0096553B">
              <w:rPr>
                <w:rFonts w:asciiTheme="minorHAnsi" w:hAnsiTheme="minorHAnsi" w:cstheme="minorHAnsi"/>
                <w:color w:val="FF0000"/>
                <w:sz w:val="22"/>
                <w:szCs w:val="22"/>
                <w:u w:val="single"/>
              </w:rPr>
              <w:t xml:space="preserve"> to help determine</w:t>
            </w:r>
            <w:r w:rsidRPr="0096553B">
              <w:rPr>
                <w:rFonts w:asciiTheme="minorHAnsi" w:hAnsiTheme="minorHAnsi" w:cstheme="minorHAnsi"/>
                <w:color w:val="FF0000"/>
                <w:sz w:val="22"/>
                <w:szCs w:val="22"/>
                <w:u w:val="single"/>
              </w:rPr>
              <w:t xml:space="preserve"> whether assistance is needed.</w:t>
            </w:r>
            <w:r w:rsidRPr="0096553B">
              <w:rPr>
                <w:rFonts w:asciiTheme="minorHAnsi" w:hAnsiTheme="minorHAnsi" w:cstheme="minorHAnsi"/>
                <w:sz w:val="22"/>
                <w:szCs w:val="22"/>
              </w:rPr>
              <w:t>”</w:t>
            </w:r>
          </w:p>
        </w:tc>
        <w:tc>
          <w:tcPr>
            <w:tcW w:w="2096" w:type="pct"/>
            <w:shd w:val="clear" w:color="auto" w:fill="auto"/>
          </w:tcPr>
          <w:p w14:paraId="06C9DC3A" w14:textId="77777777" w:rsidR="006876FA" w:rsidRPr="0096553B" w:rsidRDefault="006876FA" w:rsidP="00702D5F">
            <w:pPr>
              <w:rPr>
                <w:rFonts w:asciiTheme="minorHAnsi" w:hAnsiTheme="minorHAnsi" w:cstheme="minorHAnsi"/>
                <w:sz w:val="22"/>
                <w:szCs w:val="22"/>
              </w:rPr>
            </w:pPr>
            <w:r w:rsidRPr="0096553B">
              <w:rPr>
                <w:rFonts w:asciiTheme="minorHAnsi" w:hAnsiTheme="minorHAnsi" w:cstheme="minorHAnsi"/>
                <w:bCs/>
                <w:sz w:val="22"/>
                <w:szCs w:val="22"/>
              </w:rPr>
              <w:t xml:space="preserve">This provision </w:t>
            </w:r>
            <w:r w:rsidR="006916C1" w:rsidRPr="0096553B">
              <w:rPr>
                <w:rFonts w:asciiTheme="minorHAnsi" w:hAnsiTheme="minorHAnsi" w:cstheme="minorHAnsi"/>
                <w:bCs/>
                <w:sz w:val="22"/>
                <w:szCs w:val="22"/>
              </w:rPr>
              <w:t>should be strengthened</w:t>
            </w:r>
            <w:r w:rsidRPr="0096553B">
              <w:rPr>
                <w:rFonts w:asciiTheme="minorHAnsi" w:hAnsiTheme="minorHAnsi" w:cstheme="minorHAnsi"/>
                <w:bCs/>
                <w:sz w:val="22"/>
                <w:szCs w:val="22"/>
              </w:rPr>
              <w:t xml:space="preserve"> by requiring the Contractor to inform members of their right to request assistance given that one trigger for the provision of assistance of “Member assistance requested.” </w:t>
            </w:r>
            <w:r w:rsidRPr="0096553B">
              <w:rPr>
                <w:rFonts w:asciiTheme="minorHAnsi" w:hAnsiTheme="minorHAnsi" w:cstheme="minorHAnsi"/>
                <w:sz w:val="22"/>
                <w:szCs w:val="22"/>
              </w:rPr>
              <w:t>Otherwise, members may not be aware of the need to request such assistance ahead of time.</w:t>
            </w:r>
          </w:p>
          <w:p w14:paraId="091255A5" w14:textId="77777777" w:rsidR="006876FA" w:rsidRPr="0096553B" w:rsidRDefault="006876FA" w:rsidP="00702D5F">
            <w:pPr>
              <w:rPr>
                <w:rFonts w:asciiTheme="minorHAnsi" w:hAnsiTheme="minorHAnsi" w:cstheme="minorHAnsi"/>
                <w:sz w:val="22"/>
                <w:szCs w:val="22"/>
              </w:rPr>
            </w:pPr>
          </w:p>
          <w:p w14:paraId="1F6C53BD" w14:textId="2D728EE0" w:rsidR="006876FA" w:rsidRPr="0096553B" w:rsidRDefault="00A47C43" w:rsidP="00702D5F">
            <w:pPr>
              <w:rPr>
                <w:rFonts w:asciiTheme="minorHAnsi" w:hAnsiTheme="minorHAnsi" w:cstheme="minorHAnsi"/>
                <w:color w:val="000000"/>
                <w:sz w:val="22"/>
                <w:szCs w:val="22"/>
              </w:rPr>
            </w:pPr>
            <w:r w:rsidRPr="0096553B">
              <w:rPr>
                <w:rFonts w:asciiTheme="minorHAnsi" w:hAnsiTheme="minorHAnsi" w:cstheme="minorHAnsi"/>
                <w:bCs/>
                <w:sz w:val="22"/>
                <w:szCs w:val="22"/>
              </w:rPr>
              <w:t xml:space="preserve">This provision could also be </w:t>
            </w:r>
            <w:r w:rsidR="006876FA" w:rsidRPr="0096553B">
              <w:rPr>
                <w:rFonts w:asciiTheme="minorHAnsi" w:hAnsiTheme="minorHAnsi" w:cstheme="minorHAnsi"/>
                <w:bCs/>
                <w:sz w:val="22"/>
                <w:szCs w:val="22"/>
              </w:rPr>
              <w:t>strengthened by clarifying that the Contractor is responsible for soliciting information from the member</w:t>
            </w:r>
            <w:r w:rsidR="00B72D01" w:rsidRPr="0096553B">
              <w:rPr>
                <w:rFonts w:asciiTheme="minorHAnsi" w:hAnsiTheme="minorHAnsi" w:cstheme="minorHAnsi"/>
                <w:bCs/>
                <w:sz w:val="22"/>
                <w:szCs w:val="22"/>
              </w:rPr>
              <w:t xml:space="preserve"> or the member’s representative</w:t>
            </w:r>
            <w:r w:rsidR="006876FA" w:rsidRPr="0096553B">
              <w:rPr>
                <w:rFonts w:asciiTheme="minorHAnsi" w:hAnsiTheme="minorHAnsi" w:cstheme="minorHAnsi"/>
                <w:bCs/>
                <w:sz w:val="22"/>
                <w:szCs w:val="22"/>
              </w:rPr>
              <w:t xml:space="preserve"> regarding whether assistance is needed.</w:t>
            </w:r>
            <w:r w:rsidR="00A56407" w:rsidRPr="0096553B">
              <w:rPr>
                <w:rFonts w:asciiTheme="minorHAnsi" w:hAnsiTheme="minorHAnsi" w:cstheme="minorHAnsi"/>
                <w:bCs/>
                <w:sz w:val="22"/>
                <w:szCs w:val="22"/>
              </w:rPr>
              <w:t xml:space="preserve"> The Contractor would likely need information from the member, such as information regarding their health status and whether they think they need assistance, in order to make an accurate determination of whether assistance is needed.</w:t>
            </w:r>
          </w:p>
        </w:tc>
        <w:tc>
          <w:tcPr>
            <w:tcW w:w="1559" w:type="pct"/>
            <w:shd w:val="clear" w:color="auto" w:fill="D9D9D9" w:themeFill="background1" w:themeFillShade="D9"/>
          </w:tcPr>
          <w:p w14:paraId="19D5475D" w14:textId="77777777" w:rsidR="006876FA" w:rsidRPr="0096553B" w:rsidRDefault="006876FA" w:rsidP="00702D5F">
            <w:pPr>
              <w:rPr>
                <w:rFonts w:asciiTheme="minorHAnsi" w:hAnsiTheme="minorHAnsi" w:cs="Arial"/>
                <w:color w:val="FF0000"/>
                <w:sz w:val="22"/>
                <w:szCs w:val="22"/>
              </w:rPr>
            </w:pPr>
          </w:p>
        </w:tc>
      </w:tr>
      <w:tr w:rsidR="00F104CC" w:rsidRPr="0096553B" w14:paraId="03DE96BA" w14:textId="77777777" w:rsidTr="00F23332">
        <w:trPr>
          <w:trHeight w:val="1353"/>
          <w:jc w:val="center"/>
        </w:trPr>
        <w:tc>
          <w:tcPr>
            <w:tcW w:w="432" w:type="pct"/>
            <w:shd w:val="clear" w:color="auto" w:fill="auto"/>
            <w:vAlign w:val="center"/>
          </w:tcPr>
          <w:p w14:paraId="20E99A17" w14:textId="77777777" w:rsidR="00F104CC" w:rsidRPr="0096553B" w:rsidRDefault="00F104CC" w:rsidP="00702D5F">
            <w:pPr>
              <w:jc w:val="center"/>
              <w:rPr>
                <w:rFonts w:asciiTheme="minorHAnsi" w:hAnsiTheme="minorHAnsi" w:cs="Arial"/>
                <w:sz w:val="22"/>
                <w:szCs w:val="22"/>
              </w:rPr>
            </w:pPr>
            <w:r w:rsidRPr="0096553B">
              <w:rPr>
                <w:rFonts w:asciiTheme="minorHAnsi" w:hAnsiTheme="minorHAnsi" w:cs="Arial"/>
                <w:sz w:val="22"/>
                <w:szCs w:val="22"/>
              </w:rPr>
              <w:lastRenderedPageBreak/>
              <w:t xml:space="preserve">4.10.18, </w:t>
            </w:r>
            <w:proofErr w:type="spellStart"/>
            <w:r w:rsidRPr="0096553B">
              <w:rPr>
                <w:rFonts w:asciiTheme="minorHAnsi" w:hAnsiTheme="minorHAnsi" w:cs="Arial"/>
                <w:sz w:val="22"/>
                <w:szCs w:val="22"/>
              </w:rPr>
              <w:t>pg</w:t>
            </w:r>
            <w:proofErr w:type="spellEnd"/>
            <w:r w:rsidRPr="0096553B">
              <w:rPr>
                <w:rFonts w:asciiTheme="minorHAnsi" w:hAnsiTheme="minorHAnsi" w:cs="Arial"/>
                <w:sz w:val="22"/>
                <w:szCs w:val="22"/>
              </w:rPr>
              <w:t xml:space="preserve"> 95</w:t>
            </w:r>
          </w:p>
        </w:tc>
        <w:tc>
          <w:tcPr>
            <w:tcW w:w="913" w:type="pct"/>
            <w:shd w:val="clear" w:color="auto" w:fill="auto"/>
            <w:vAlign w:val="center"/>
          </w:tcPr>
          <w:p w14:paraId="3CC91C41" w14:textId="77777777" w:rsidR="00F104CC" w:rsidRPr="0096553B" w:rsidRDefault="00F104CC" w:rsidP="00702D5F">
            <w:pPr>
              <w:rPr>
                <w:rFonts w:asciiTheme="minorHAnsi" w:hAnsiTheme="minorHAnsi" w:cstheme="minorHAnsi"/>
                <w:sz w:val="22"/>
                <w:szCs w:val="22"/>
              </w:rPr>
            </w:pPr>
            <w:r w:rsidRPr="0096553B">
              <w:rPr>
                <w:rFonts w:asciiTheme="minorHAnsi" w:hAnsiTheme="minorHAnsi" w:cstheme="minorHAnsi"/>
                <w:sz w:val="22"/>
                <w:szCs w:val="22"/>
              </w:rPr>
              <w:t xml:space="preserve">“The Contractor shall ensure that covered transportation services are available twenty-four (24) hours a day, three hundred and sixty-five (365) days a year.” </w:t>
            </w:r>
          </w:p>
        </w:tc>
        <w:tc>
          <w:tcPr>
            <w:tcW w:w="2096" w:type="pct"/>
            <w:shd w:val="clear" w:color="auto" w:fill="auto"/>
            <w:vAlign w:val="center"/>
          </w:tcPr>
          <w:p w14:paraId="0A4DB06D" w14:textId="77777777" w:rsidR="00F104CC" w:rsidRPr="0096553B" w:rsidRDefault="00F104CC" w:rsidP="00702D5F">
            <w:pPr>
              <w:pStyle w:val="ListParagraph"/>
              <w:spacing w:after="0" w:line="240" w:lineRule="auto"/>
              <w:ind w:left="0"/>
              <w:rPr>
                <w:rFonts w:asciiTheme="minorHAnsi" w:hAnsiTheme="minorHAnsi" w:cstheme="minorHAnsi"/>
                <w:bCs/>
              </w:rPr>
            </w:pPr>
            <w:r w:rsidRPr="0096553B">
              <w:rPr>
                <w:rFonts w:asciiTheme="minorHAnsi" w:hAnsiTheme="minorHAnsi" w:cstheme="minorHAnsi"/>
                <w:bCs/>
              </w:rPr>
              <w:t xml:space="preserve">Availability and reliability of Medicaid transportation services has historically been a huge barrier for people with disabilities obtaining needed services. </w:t>
            </w:r>
            <w:r w:rsidR="00F805DC" w:rsidRPr="0096553B">
              <w:t>VBPD feels strongly that additi</w:t>
            </w:r>
            <w:r w:rsidR="005C7970" w:rsidRPr="0096553B">
              <w:t xml:space="preserve">onal </w:t>
            </w:r>
            <w:r w:rsidR="00F805DC" w:rsidRPr="0096553B">
              <w:t>quality assurances related to transportation are needed</w:t>
            </w:r>
            <w:r w:rsidR="00E47D7D" w:rsidRPr="0096553B">
              <w:t xml:space="preserve"> to address this issue</w:t>
            </w:r>
            <w:r w:rsidR="00F718C4" w:rsidRPr="0096553B">
              <w:t>, beyond the broad and vague requirement that services be available 24/7</w:t>
            </w:r>
            <w:r w:rsidR="00F805DC" w:rsidRPr="0096553B">
              <w:t xml:space="preserve">. </w:t>
            </w:r>
            <w:r w:rsidR="000B58D2" w:rsidRPr="0096553B">
              <w:t>VBPD was pleased to see</w:t>
            </w:r>
            <w:r w:rsidR="006F7821" w:rsidRPr="0096553B">
              <w:t xml:space="preserve"> consideration of standards for scheduling, assigning, dispatching, pick-up, and delivery in last year’s contract revision process, and urges the Department to re-consider those same standards, or similar standards, this year.</w:t>
            </w:r>
            <w:r w:rsidR="000B58D2" w:rsidRPr="0096553B">
              <w:t xml:space="preserve"> VBPD was also pleased to see consideration of requiring contingency plans, adverse weather plans, and a quality assurance program i</w:t>
            </w:r>
            <w:r w:rsidR="00CF788D" w:rsidRPr="0096553B">
              <w:t>n last year’s contract revision process, and urges the Department to re-consider those same standards, or similar standards, this year.</w:t>
            </w:r>
          </w:p>
        </w:tc>
        <w:tc>
          <w:tcPr>
            <w:tcW w:w="1559" w:type="pct"/>
            <w:shd w:val="clear" w:color="auto" w:fill="D9D9D9" w:themeFill="background1" w:themeFillShade="D9"/>
          </w:tcPr>
          <w:p w14:paraId="6175EBA9" w14:textId="77777777" w:rsidR="00F104CC" w:rsidRPr="0096553B" w:rsidRDefault="00F104CC" w:rsidP="00702D5F">
            <w:pPr>
              <w:rPr>
                <w:rFonts w:asciiTheme="minorHAnsi" w:hAnsiTheme="minorHAnsi" w:cs="Arial"/>
                <w:color w:val="FF0000"/>
                <w:sz w:val="22"/>
                <w:szCs w:val="22"/>
              </w:rPr>
            </w:pPr>
          </w:p>
        </w:tc>
      </w:tr>
      <w:tr w:rsidR="006876FA" w:rsidRPr="0096553B" w14:paraId="59076F99" w14:textId="77777777" w:rsidTr="00F23332">
        <w:trPr>
          <w:trHeight w:val="1353"/>
          <w:jc w:val="center"/>
        </w:trPr>
        <w:tc>
          <w:tcPr>
            <w:tcW w:w="432" w:type="pct"/>
            <w:shd w:val="clear" w:color="auto" w:fill="auto"/>
            <w:vAlign w:val="center"/>
          </w:tcPr>
          <w:p w14:paraId="0D49195E" w14:textId="77777777" w:rsidR="006876FA" w:rsidRPr="0096553B" w:rsidRDefault="006876FA" w:rsidP="00702D5F">
            <w:pPr>
              <w:jc w:val="center"/>
              <w:rPr>
                <w:rFonts w:asciiTheme="minorHAnsi" w:hAnsiTheme="minorHAnsi" w:cs="Arial"/>
                <w:sz w:val="22"/>
                <w:szCs w:val="22"/>
              </w:rPr>
            </w:pPr>
            <w:r w:rsidRPr="0096553B">
              <w:rPr>
                <w:rFonts w:asciiTheme="minorHAnsi" w:hAnsiTheme="minorHAnsi" w:cs="Arial"/>
                <w:sz w:val="22"/>
                <w:szCs w:val="22"/>
              </w:rPr>
              <w:t xml:space="preserve">4.10.21, </w:t>
            </w:r>
            <w:proofErr w:type="spellStart"/>
            <w:r w:rsidRPr="0096553B">
              <w:rPr>
                <w:rFonts w:asciiTheme="minorHAnsi" w:hAnsiTheme="minorHAnsi" w:cs="Arial"/>
                <w:sz w:val="22"/>
                <w:szCs w:val="22"/>
              </w:rPr>
              <w:t>pg</w:t>
            </w:r>
            <w:proofErr w:type="spellEnd"/>
            <w:r w:rsidRPr="0096553B">
              <w:rPr>
                <w:rFonts w:asciiTheme="minorHAnsi" w:hAnsiTheme="minorHAnsi" w:cs="Arial"/>
                <w:sz w:val="22"/>
                <w:szCs w:val="22"/>
              </w:rPr>
              <w:t xml:space="preserve"> 97-8</w:t>
            </w:r>
          </w:p>
        </w:tc>
        <w:tc>
          <w:tcPr>
            <w:tcW w:w="913" w:type="pct"/>
            <w:shd w:val="clear" w:color="auto" w:fill="auto"/>
            <w:vAlign w:val="center"/>
          </w:tcPr>
          <w:p w14:paraId="52303023" w14:textId="77777777" w:rsidR="00004ECC" w:rsidRDefault="006876FA" w:rsidP="00702D5F">
            <w:pPr>
              <w:pStyle w:val="Default"/>
              <w:rPr>
                <w:rFonts w:asciiTheme="minorHAnsi" w:hAnsiTheme="minorHAnsi" w:cstheme="minorHAnsi"/>
                <w:color w:val="FF0000"/>
                <w:sz w:val="22"/>
                <w:szCs w:val="22"/>
                <w:u w:val="single"/>
              </w:rPr>
            </w:pPr>
            <w:r w:rsidRPr="0096553B">
              <w:rPr>
                <w:rFonts w:asciiTheme="minorHAnsi" w:hAnsiTheme="minorHAnsi" w:cstheme="minorHAnsi"/>
                <w:sz w:val="22"/>
                <w:szCs w:val="22"/>
              </w:rPr>
              <w:t>“</w:t>
            </w:r>
            <w:r w:rsidRPr="0096553B">
              <w:rPr>
                <w:rFonts w:asciiTheme="minorHAnsi" w:hAnsiTheme="minorHAnsi" w:cstheme="minorHAnsi"/>
                <w:color w:val="FF0000"/>
                <w:sz w:val="22"/>
                <w:szCs w:val="22"/>
                <w:u w:val="single"/>
              </w:rPr>
              <w:t>At the time of scheduling, the Contractor</w:t>
            </w:r>
            <w:r w:rsidR="00BC12D6" w:rsidRPr="0096553B">
              <w:rPr>
                <w:rFonts w:asciiTheme="minorHAnsi" w:hAnsiTheme="minorHAnsi" w:cstheme="minorHAnsi"/>
                <w:color w:val="FF0000"/>
                <w:sz w:val="22"/>
                <w:szCs w:val="22"/>
                <w:u w:val="single"/>
              </w:rPr>
              <w:t xml:space="preserve"> or their transportation broker</w:t>
            </w:r>
            <w:r w:rsidRPr="0096553B">
              <w:rPr>
                <w:rFonts w:asciiTheme="minorHAnsi" w:hAnsiTheme="minorHAnsi" w:cstheme="minorHAnsi"/>
                <w:color w:val="FF0000"/>
                <w:sz w:val="22"/>
                <w:szCs w:val="22"/>
                <w:u w:val="single"/>
              </w:rPr>
              <w:t xml:space="preserve"> </w:t>
            </w:r>
            <w:r w:rsidR="00004ECC">
              <w:rPr>
                <w:rFonts w:asciiTheme="minorHAnsi" w:hAnsiTheme="minorHAnsi" w:cstheme="minorHAnsi"/>
                <w:color w:val="FF0000"/>
                <w:sz w:val="22"/>
                <w:szCs w:val="22"/>
                <w:u w:val="single"/>
              </w:rPr>
              <w:t>shall</w:t>
            </w:r>
          </w:p>
          <w:p w14:paraId="485EDCAD" w14:textId="709D26CE" w:rsidR="006876FA" w:rsidRPr="0096553B" w:rsidRDefault="0069459E" w:rsidP="00702D5F">
            <w:pPr>
              <w:pStyle w:val="Default"/>
              <w:rPr>
                <w:rFonts w:asciiTheme="minorHAnsi" w:hAnsiTheme="minorHAnsi" w:cstheme="minorHAnsi"/>
                <w:sz w:val="22"/>
                <w:szCs w:val="22"/>
              </w:rPr>
            </w:pPr>
            <w:r w:rsidRPr="0096553B">
              <w:rPr>
                <w:rFonts w:asciiTheme="minorHAnsi" w:hAnsiTheme="minorHAnsi" w:cstheme="minorHAnsi"/>
                <w:color w:val="FF0000"/>
                <w:sz w:val="22"/>
                <w:szCs w:val="22"/>
                <w:u w:val="single"/>
              </w:rPr>
              <w:t>Inform</w:t>
            </w:r>
            <w:r w:rsidR="006876FA" w:rsidRPr="0096553B">
              <w:rPr>
                <w:rFonts w:asciiTheme="minorHAnsi" w:hAnsiTheme="minorHAnsi" w:cstheme="minorHAnsi"/>
                <w:color w:val="FF0000"/>
                <w:sz w:val="22"/>
                <w:szCs w:val="22"/>
                <w:u w:val="single"/>
              </w:rPr>
              <w:t xml:space="preserve"> </w:t>
            </w:r>
            <w:r w:rsidR="00401A42" w:rsidRPr="0096553B">
              <w:rPr>
                <w:rFonts w:asciiTheme="minorHAnsi" w:hAnsiTheme="minorHAnsi" w:cstheme="minorHAnsi"/>
                <w:color w:val="FF0000"/>
                <w:sz w:val="22"/>
                <w:szCs w:val="22"/>
                <w:u w:val="single"/>
              </w:rPr>
              <w:t>the member or the member’s representative</w:t>
            </w:r>
            <w:r w:rsidR="006876FA" w:rsidRPr="0096553B">
              <w:rPr>
                <w:rFonts w:asciiTheme="minorHAnsi" w:hAnsiTheme="minorHAnsi" w:cstheme="minorHAnsi"/>
                <w:color w:val="FF0000"/>
                <w:sz w:val="22"/>
                <w:szCs w:val="22"/>
                <w:u w:val="single"/>
              </w:rPr>
              <w:t xml:space="preserve"> of their right </w:t>
            </w:r>
            <w:r w:rsidR="009C762E">
              <w:rPr>
                <w:rFonts w:asciiTheme="minorHAnsi" w:hAnsiTheme="minorHAnsi" w:cstheme="minorHAnsi"/>
                <w:color w:val="FF0000"/>
                <w:sz w:val="22"/>
                <w:szCs w:val="22"/>
                <w:u w:val="single"/>
              </w:rPr>
              <w:t>to request an attendant and shall</w:t>
            </w:r>
            <w:r w:rsidR="006876FA" w:rsidRPr="0096553B">
              <w:rPr>
                <w:rFonts w:asciiTheme="minorHAnsi" w:hAnsiTheme="minorHAnsi" w:cstheme="minorHAnsi"/>
                <w:color w:val="FF0000"/>
                <w:sz w:val="22"/>
                <w:szCs w:val="22"/>
                <w:u w:val="single"/>
              </w:rPr>
              <w:t xml:space="preserve"> solicit information from the member</w:t>
            </w:r>
            <w:r w:rsidR="00DE5721" w:rsidRPr="0096553B">
              <w:rPr>
                <w:rFonts w:asciiTheme="minorHAnsi" w:hAnsiTheme="minorHAnsi" w:cstheme="minorHAnsi"/>
                <w:color w:val="FF0000"/>
                <w:sz w:val="22"/>
                <w:szCs w:val="22"/>
                <w:u w:val="single"/>
              </w:rPr>
              <w:t xml:space="preserve"> or the member’s representative</w:t>
            </w:r>
            <w:r w:rsidR="006876FA" w:rsidRPr="0096553B">
              <w:rPr>
                <w:rFonts w:asciiTheme="minorHAnsi" w:hAnsiTheme="minorHAnsi" w:cstheme="minorHAnsi"/>
                <w:color w:val="FF0000"/>
                <w:sz w:val="22"/>
                <w:szCs w:val="22"/>
                <w:u w:val="single"/>
              </w:rPr>
              <w:t xml:space="preserve"> </w:t>
            </w:r>
            <w:r w:rsidR="005356A1" w:rsidRPr="0096553B">
              <w:rPr>
                <w:rFonts w:asciiTheme="minorHAnsi" w:hAnsiTheme="minorHAnsi" w:cstheme="minorHAnsi"/>
                <w:color w:val="FF0000"/>
                <w:sz w:val="22"/>
                <w:szCs w:val="22"/>
                <w:u w:val="single"/>
              </w:rPr>
              <w:t>to help determine</w:t>
            </w:r>
            <w:r w:rsidR="006876FA" w:rsidRPr="0096553B">
              <w:rPr>
                <w:rFonts w:asciiTheme="minorHAnsi" w:hAnsiTheme="minorHAnsi" w:cstheme="minorHAnsi"/>
                <w:color w:val="FF0000"/>
                <w:sz w:val="22"/>
                <w:szCs w:val="22"/>
                <w:u w:val="single"/>
              </w:rPr>
              <w:t xml:space="preserve"> whether an </w:t>
            </w:r>
            <w:r w:rsidR="006876FA" w:rsidRPr="0096553B">
              <w:rPr>
                <w:rFonts w:asciiTheme="minorHAnsi" w:hAnsiTheme="minorHAnsi" w:cstheme="minorHAnsi"/>
                <w:color w:val="FF0000"/>
                <w:sz w:val="22"/>
                <w:szCs w:val="22"/>
                <w:u w:val="single"/>
              </w:rPr>
              <w:lastRenderedPageBreak/>
              <w:t xml:space="preserve">attendant is needed. </w:t>
            </w:r>
            <w:r w:rsidR="006876FA" w:rsidRPr="0096553B">
              <w:rPr>
                <w:rFonts w:asciiTheme="minorHAnsi" w:hAnsiTheme="minorHAnsi" w:cstheme="minorHAnsi"/>
                <w:sz w:val="22"/>
                <w:szCs w:val="22"/>
              </w:rPr>
              <w:t>The use of an attendant must be prior approved by the Contractor, broker, or internal transportation services…. The attendant, when required, must be identified and provided for the Member’s transportation needs within five (5) business days of approval. ”</w:t>
            </w:r>
          </w:p>
        </w:tc>
        <w:tc>
          <w:tcPr>
            <w:tcW w:w="2096" w:type="pct"/>
            <w:shd w:val="clear" w:color="auto" w:fill="auto"/>
            <w:vAlign w:val="center"/>
          </w:tcPr>
          <w:p w14:paraId="7A44B528" w14:textId="7F5904FC" w:rsidR="006876FA" w:rsidRPr="0096553B" w:rsidRDefault="006876FA" w:rsidP="00702D5F">
            <w:pPr>
              <w:pStyle w:val="ListParagraph"/>
              <w:spacing w:after="0" w:line="240" w:lineRule="auto"/>
              <w:ind w:left="0"/>
              <w:rPr>
                <w:rFonts w:asciiTheme="minorHAnsi" w:hAnsiTheme="minorHAnsi" w:cstheme="minorHAnsi"/>
                <w:bCs/>
              </w:rPr>
            </w:pPr>
            <w:r w:rsidRPr="0096553B">
              <w:rPr>
                <w:rFonts w:asciiTheme="minorHAnsi" w:hAnsiTheme="minorHAnsi" w:cstheme="minorHAnsi"/>
                <w:bCs/>
              </w:rPr>
              <w:lastRenderedPageBreak/>
              <w:t>This provision indicates that the use of attendants must be arranged for ahead of time, but does not clarify how the need for an attendant is determined and who is responsible for the determination</w:t>
            </w:r>
            <w:r w:rsidR="004144E3" w:rsidRPr="0096553B">
              <w:rPr>
                <w:rFonts w:asciiTheme="minorHAnsi" w:hAnsiTheme="minorHAnsi" w:cstheme="minorHAnsi"/>
                <w:bCs/>
              </w:rPr>
              <w:t xml:space="preserve">. </w:t>
            </w:r>
            <w:r w:rsidRPr="0096553B">
              <w:rPr>
                <w:rFonts w:asciiTheme="minorHAnsi" w:hAnsiTheme="minorHAnsi" w:cstheme="minorHAnsi"/>
                <w:bCs/>
              </w:rPr>
              <w:t xml:space="preserve">This provision </w:t>
            </w:r>
            <w:r w:rsidR="006916C1" w:rsidRPr="0096553B">
              <w:rPr>
                <w:rFonts w:asciiTheme="minorHAnsi" w:hAnsiTheme="minorHAnsi" w:cstheme="minorHAnsi"/>
                <w:bCs/>
              </w:rPr>
              <w:t>should be strengthened</w:t>
            </w:r>
            <w:r w:rsidRPr="0096553B">
              <w:rPr>
                <w:rFonts w:asciiTheme="minorHAnsi" w:hAnsiTheme="minorHAnsi" w:cstheme="minorHAnsi"/>
                <w:bCs/>
              </w:rPr>
              <w:t xml:space="preserve"> by clarifying that the Contractor is responsible for informing members </w:t>
            </w:r>
            <w:r w:rsidR="004144E3" w:rsidRPr="0096553B">
              <w:rPr>
                <w:rFonts w:asciiTheme="minorHAnsi" w:hAnsiTheme="minorHAnsi" w:cstheme="minorHAnsi"/>
                <w:bCs/>
              </w:rPr>
              <w:t xml:space="preserve">or member representatives </w:t>
            </w:r>
            <w:r w:rsidRPr="0096553B">
              <w:rPr>
                <w:rFonts w:asciiTheme="minorHAnsi" w:hAnsiTheme="minorHAnsi" w:cstheme="minorHAnsi"/>
                <w:bCs/>
              </w:rPr>
              <w:t xml:space="preserve">of their right to use an attendant and soliciting information from the member regarding whether an attendant is needed. </w:t>
            </w:r>
            <w:r w:rsidR="004144E3" w:rsidRPr="0096553B">
              <w:rPr>
                <w:rFonts w:asciiTheme="minorHAnsi" w:hAnsiTheme="minorHAnsi" w:cstheme="minorHAnsi"/>
                <w:bCs/>
              </w:rPr>
              <w:t>The Contractor would likely need information from the member, such as information regarding their health status and whether they think they need a</w:t>
            </w:r>
            <w:r w:rsidR="004A5599" w:rsidRPr="0096553B">
              <w:rPr>
                <w:rFonts w:asciiTheme="minorHAnsi" w:hAnsiTheme="minorHAnsi" w:cstheme="minorHAnsi"/>
                <w:bCs/>
              </w:rPr>
              <w:t>n attendant</w:t>
            </w:r>
            <w:r w:rsidR="004144E3" w:rsidRPr="0096553B">
              <w:rPr>
                <w:rFonts w:asciiTheme="minorHAnsi" w:hAnsiTheme="minorHAnsi" w:cstheme="minorHAnsi"/>
                <w:bCs/>
              </w:rPr>
              <w:t>, in order to make an accurate determination of whether assistance is needed.</w:t>
            </w:r>
          </w:p>
          <w:p w14:paraId="38E6B758" w14:textId="77777777" w:rsidR="006876FA" w:rsidRPr="0096553B" w:rsidRDefault="006876FA" w:rsidP="00702D5F">
            <w:pPr>
              <w:rPr>
                <w:rFonts w:asciiTheme="minorHAnsi" w:hAnsiTheme="minorHAnsi" w:cs="Arial"/>
                <w:sz w:val="22"/>
                <w:szCs w:val="22"/>
              </w:rPr>
            </w:pPr>
          </w:p>
        </w:tc>
        <w:tc>
          <w:tcPr>
            <w:tcW w:w="1559" w:type="pct"/>
            <w:shd w:val="clear" w:color="auto" w:fill="D9D9D9" w:themeFill="background1" w:themeFillShade="D9"/>
          </w:tcPr>
          <w:p w14:paraId="06146F88" w14:textId="77777777" w:rsidR="006876FA" w:rsidRPr="0096553B" w:rsidRDefault="006876FA" w:rsidP="00702D5F">
            <w:pPr>
              <w:rPr>
                <w:rFonts w:asciiTheme="minorHAnsi" w:hAnsiTheme="minorHAnsi" w:cs="Arial"/>
                <w:color w:val="FF0000"/>
                <w:sz w:val="22"/>
                <w:szCs w:val="22"/>
              </w:rPr>
            </w:pPr>
          </w:p>
        </w:tc>
      </w:tr>
      <w:tr w:rsidR="006876FA" w:rsidRPr="0096553B" w14:paraId="5844E477" w14:textId="77777777" w:rsidTr="00F23332">
        <w:trPr>
          <w:trHeight w:val="1353"/>
          <w:jc w:val="center"/>
        </w:trPr>
        <w:tc>
          <w:tcPr>
            <w:tcW w:w="432" w:type="pct"/>
            <w:shd w:val="clear" w:color="auto" w:fill="auto"/>
            <w:vAlign w:val="center"/>
          </w:tcPr>
          <w:p w14:paraId="0D512D75" w14:textId="77777777" w:rsidR="006876FA" w:rsidRPr="0096553B" w:rsidRDefault="006876FA" w:rsidP="00702D5F">
            <w:pPr>
              <w:jc w:val="center"/>
              <w:rPr>
                <w:rFonts w:ascii="Calibri" w:hAnsi="Calibri"/>
                <w:color w:val="000000"/>
                <w:sz w:val="22"/>
                <w:szCs w:val="22"/>
              </w:rPr>
            </w:pPr>
            <w:r w:rsidRPr="0096553B">
              <w:rPr>
                <w:rFonts w:ascii="Calibri" w:hAnsi="Calibri"/>
                <w:color w:val="000000"/>
                <w:sz w:val="22"/>
                <w:szCs w:val="22"/>
              </w:rPr>
              <w:lastRenderedPageBreak/>
              <w:t xml:space="preserve">4.10.23,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98</w:t>
            </w:r>
          </w:p>
        </w:tc>
        <w:tc>
          <w:tcPr>
            <w:tcW w:w="913" w:type="pct"/>
            <w:shd w:val="clear" w:color="auto" w:fill="auto"/>
            <w:vAlign w:val="center"/>
          </w:tcPr>
          <w:p w14:paraId="7E49920E" w14:textId="23332736" w:rsidR="006876FA" w:rsidRPr="0096553B" w:rsidRDefault="006876FA" w:rsidP="00FF1BB2">
            <w:pPr>
              <w:rPr>
                <w:rFonts w:asciiTheme="minorHAnsi" w:hAnsiTheme="minorHAnsi" w:cstheme="minorHAnsi"/>
                <w:color w:val="000000"/>
                <w:sz w:val="22"/>
                <w:szCs w:val="22"/>
              </w:rPr>
            </w:pPr>
            <w:r w:rsidRPr="0096553B">
              <w:rPr>
                <w:rFonts w:asciiTheme="minorHAnsi" w:hAnsiTheme="minorHAnsi" w:cstheme="minorHAnsi"/>
                <w:sz w:val="22"/>
                <w:szCs w:val="22"/>
              </w:rPr>
              <w:t>“An escort or personal assistant is a parent, caretaker, relative or friend who is authorized by the Contractor to accompany a Member or group of Members who have special needs or who are minor children (defined as under age 18).</w:t>
            </w:r>
            <w:r w:rsidR="00314D0E" w:rsidRPr="0096553B">
              <w:rPr>
                <w:rFonts w:asciiTheme="minorHAnsi" w:hAnsiTheme="minorHAnsi" w:cstheme="minorHAnsi"/>
                <w:sz w:val="22"/>
                <w:szCs w:val="22"/>
              </w:rPr>
              <w:t xml:space="preserve"> No charge shall be made for escorts or personal assistants. </w:t>
            </w:r>
            <w:r w:rsidR="00314D0E" w:rsidRPr="0096553B">
              <w:rPr>
                <w:rFonts w:asciiTheme="minorHAnsi" w:hAnsiTheme="minorHAnsi" w:cstheme="minorHAnsi"/>
                <w:color w:val="FF0000"/>
                <w:sz w:val="22"/>
                <w:szCs w:val="22"/>
                <w:u w:val="single"/>
              </w:rPr>
              <w:t xml:space="preserve">At the time of scheduling, the </w:t>
            </w:r>
            <w:r w:rsidR="00314D0E" w:rsidRPr="0096553B">
              <w:rPr>
                <w:rFonts w:asciiTheme="minorHAnsi" w:hAnsiTheme="minorHAnsi" w:cstheme="minorHAnsi"/>
                <w:color w:val="FF0000"/>
                <w:sz w:val="22"/>
                <w:szCs w:val="22"/>
                <w:u w:val="single"/>
              </w:rPr>
              <w:lastRenderedPageBreak/>
              <w:t xml:space="preserve">Contractor or </w:t>
            </w:r>
            <w:r w:rsidR="00B171FF">
              <w:rPr>
                <w:rFonts w:asciiTheme="minorHAnsi" w:hAnsiTheme="minorHAnsi" w:cstheme="minorHAnsi"/>
                <w:color w:val="FF0000"/>
                <w:sz w:val="22"/>
                <w:szCs w:val="22"/>
                <w:u w:val="single"/>
              </w:rPr>
              <w:t>their transportation broker shall</w:t>
            </w:r>
            <w:r w:rsidR="00314D0E" w:rsidRPr="0096553B">
              <w:rPr>
                <w:rFonts w:asciiTheme="minorHAnsi" w:hAnsiTheme="minorHAnsi" w:cstheme="minorHAnsi"/>
                <w:color w:val="FF0000"/>
                <w:sz w:val="22"/>
                <w:szCs w:val="22"/>
                <w:u w:val="single"/>
              </w:rPr>
              <w:t xml:space="preserve"> inform the member or the member’s representative of their right to request an escort or personal assistant. The Contractor or their transportation broker </w:t>
            </w:r>
            <w:r w:rsidR="009C762E">
              <w:rPr>
                <w:rFonts w:asciiTheme="minorHAnsi" w:hAnsiTheme="minorHAnsi" w:cstheme="minorHAnsi"/>
                <w:color w:val="FF0000"/>
                <w:sz w:val="22"/>
                <w:szCs w:val="22"/>
                <w:u w:val="single"/>
              </w:rPr>
              <w:t>shall</w:t>
            </w:r>
            <w:r w:rsidR="00314D0E" w:rsidRPr="0096553B">
              <w:rPr>
                <w:rFonts w:asciiTheme="minorHAnsi" w:hAnsiTheme="minorHAnsi" w:cstheme="minorHAnsi"/>
                <w:color w:val="FF0000"/>
                <w:sz w:val="22"/>
                <w:szCs w:val="22"/>
                <w:u w:val="single"/>
              </w:rPr>
              <w:t xml:space="preserve"> also solicit information from the member or the member’s representative to help determine whether an escort or personal assistant is needed. </w:t>
            </w:r>
            <w:r w:rsidR="00314D0E" w:rsidRPr="0096553B">
              <w:rPr>
                <w:rFonts w:asciiTheme="minorHAnsi" w:hAnsiTheme="minorHAnsi" w:cstheme="minorHAnsi"/>
                <w:sz w:val="22"/>
                <w:szCs w:val="22"/>
              </w:rPr>
              <w:t>“</w:t>
            </w:r>
          </w:p>
        </w:tc>
        <w:tc>
          <w:tcPr>
            <w:tcW w:w="2096" w:type="pct"/>
            <w:shd w:val="clear" w:color="auto" w:fill="auto"/>
            <w:vAlign w:val="center"/>
          </w:tcPr>
          <w:p w14:paraId="677517E6" w14:textId="77777777" w:rsidR="006876FA" w:rsidRPr="0096553B" w:rsidRDefault="006876FA" w:rsidP="00702D5F">
            <w:pPr>
              <w:pStyle w:val="ListParagraph"/>
              <w:spacing w:after="0" w:line="240" w:lineRule="auto"/>
              <w:ind w:left="0"/>
              <w:rPr>
                <w:rFonts w:asciiTheme="minorHAnsi" w:hAnsiTheme="minorHAnsi" w:cstheme="minorHAnsi"/>
                <w:bCs/>
              </w:rPr>
            </w:pPr>
            <w:r w:rsidRPr="0096553B">
              <w:rPr>
                <w:rFonts w:asciiTheme="minorHAnsi" w:hAnsiTheme="minorHAnsi" w:cstheme="minorHAnsi"/>
                <w:bCs/>
              </w:rPr>
              <w:lastRenderedPageBreak/>
              <w:t xml:space="preserve">This provision does not clarify how the need for an escort or personal assistant is determined and who is responsible for the determination. This provision </w:t>
            </w:r>
            <w:r w:rsidR="006916C1" w:rsidRPr="0096553B">
              <w:rPr>
                <w:rFonts w:asciiTheme="minorHAnsi" w:hAnsiTheme="minorHAnsi" w:cstheme="minorHAnsi"/>
                <w:bCs/>
              </w:rPr>
              <w:t>should be strengthened</w:t>
            </w:r>
            <w:r w:rsidRPr="0096553B">
              <w:rPr>
                <w:rFonts w:asciiTheme="minorHAnsi" w:hAnsiTheme="minorHAnsi" w:cstheme="minorHAnsi"/>
                <w:bCs/>
              </w:rPr>
              <w:t xml:space="preserve"> by clarifying that the Contractor is responsible for informing members of their right to use an escort or personal assistant and soliciting information from the member regarding whether an escort or personal assistant is needed. </w:t>
            </w:r>
          </w:p>
        </w:tc>
        <w:tc>
          <w:tcPr>
            <w:tcW w:w="1559" w:type="pct"/>
            <w:shd w:val="clear" w:color="auto" w:fill="D9D9D9" w:themeFill="background1" w:themeFillShade="D9"/>
          </w:tcPr>
          <w:p w14:paraId="1222B34A" w14:textId="77777777" w:rsidR="006876FA" w:rsidRPr="0096553B" w:rsidRDefault="006876FA" w:rsidP="00702D5F">
            <w:pPr>
              <w:rPr>
                <w:rFonts w:asciiTheme="minorHAnsi" w:hAnsiTheme="minorHAnsi" w:cs="Arial"/>
                <w:color w:val="FF0000"/>
                <w:sz w:val="22"/>
                <w:szCs w:val="22"/>
              </w:rPr>
            </w:pPr>
          </w:p>
        </w:tc>
      </w:tr>
      <w:tr w:rsidR="00C47465" w:rsidRPr="0096553B" w14:paraId="6535FC78" w14:textId="77777777" w:rsidTr="00F23332">
        <w:trPr>
          <w:trHeight w:val="1353"/>
          <w:jc w:val="center"/>
        </w:trPr>
        <w:tc>
          <w:tcPr>
            <w:tcW w:w="432" w:type="pct"/>
            <w:shd w:val="clear" w:color="auto" w:fill="auto"/>
            <w:vAlign w:val="center"/>
          </w:tcPr>
          <w:p w14:paraId="65FD871D" w14:textId="77777777" w:rsidR="00C47465" w:rsidRPr="0096553B" w:rsidRDefault="00C47465" w:rsidP="00702D5F">
            <w:pPr>
              <w:jc w:val="center"/>
              <w:rPr>
                <w:rFonts w:asciiTheme="minorHAnsi" w:hAnsiTheme="minorHAnsi" w:cs="Arial"/>
                <w:sz w:val="22"/>
                <w:szCs w:val="22"/>
              </w:rPr>
            </w:pPr>
            <w:r w:rsidRPr="0096553B">
              <w:rPr>
                <w:rFonts w:asciiTheme="minorHAnsi" w:hAnsiTheme="minorHAnsi" w:cs="Arial"/>
                <w:sz w:val="22"/>
                <w:szCs w:val="22"/>
              </w:rPr>
              <w:lastRenderedPageBreak/>
              <w:t xml:space="preserve">4.10.26, </w:t>
            </w:r>
            <w:proofErr w:type="spellStart"/>
            <w:r w:rsidRPr="0096553B">
              <w:rPr>
                <w:rFonts w:asciiTheme="minorHAnsi" w:hAnsiTheme="minorHAnsi" w:cs="Arial"/>
                <w:sz w:val="22"/>
                <w:szCs w:val="22"/>
              </w:rPr>
              <w:t>pg</w:t>
            </w:r>
            <w:proofErr w:type="spellEnd"/>
            <w:r w:rsidRPr="0096553B">
              <w:rPr>
                <w:rFonts w:asciiTheme="minorHAnsi" w:hAnsiTheme="minorHAnsi" w:cs="Arial"/>
                <w:sz w:val="22"/>
                <w:szCs w:val="22"/>
              </w:rPr>
              <w:t xml:space="preserve"> 99-100</w:t>
            </w:r>
          </w:p>
        </w:tc>
        <w:tc>
          <w:tcPr>
            <w:tcW w:w="913" w:type="pct"/>
            <w:shd w:val="clear" w:color="auto" w:fill="auto"/>
            <w:vAlign w:val="center"/>
          </w:tcPr>
          <w:p w14:paraId="4A35543A" w14:textId="77777777" w:rsidR="00C47465" w:rsidRPr="0096553B" w:rsidRDefault="002F29E5" w:rsidP="00702D5F">
            <w:pPr>
              <w:pStyle w:val="Default"/>
              <w:rPr>
                <w:rFonts w:asciiTheme="minorHAnsi" w:hAnsiTheme="minorHAnsi" w:cstheme="minorHAnsi"/>
                <w:sz w:val="22"/>
                <w:szCs w:val="22"/>
              </w:rPr>
            </w:pPr>
            <w:r w:rsidRPr="0096553B">
              <w:rPr>
                <w:rFonts w:asciiTheme="minorHAnsi" w:hAnsiTheme="minorHAnsi" w:cstheme="minorHAnsi"/>
                <w:sz w:val="22"/>
                <w:szCs w:val="22"/>
              </w:rPr>
              <w:t>This section requires NEMT providers to maintain trip logs that contain information regarding the driver, the member, the vehicle, and actual pick-up and drop-off times.</w:t>
            </w:r>
          </w:p>
        </w:tc>
        <w:tc>
          <w:tcPr>
            <w:tcW w:w="2096" w:type="pct"/>
            <w:shd w:val="clear" w:color="auto" w:fill="auto"/>
            <w:vAlign w:val="center"/>
          </w:tcPr>
          <w:p w14:paraId="7AED1619" w14:textId="58A4C896" w:rsidR="00C47465" w:rsidRPr="0096553B" w:rsidRDefault="00902DF8" w:rsidP="00702D5F">
            <w:pPr>
              <w:pStyle w:val="ListParagraph"/>
              <w:spacing w:after="0" w:line="240" w:lineRule="auto"/>
              <w:ind w:left="0"/>
              <w:rPr>
                <w:rFonts w:asciiTheme="minorHAnsi" w:hAnsiTheme="minorHAnsi" w:cstheme="minorHAnsi"/>
                <w:bCs/>
              </w:rPr>
            </w:pPr>
            <w:r w:rsidRPr="0096553B">
              <w:rPr>
                <w:rFonts w:asciiTheme="minorHAnsi" w:hAnsiTheme="minorHAnsi" w:cstheme="minorHAnsi"/>
              </w:rPr>
              <w:t xml:space="preserve">This section </w:t>
            </w:r>
            <w:r w:rsidR="006916C1" w:rsidRPr="0096553B">
              <w:rPr>
                <w:rFonts w:asciiTheme="minorHAnsi" w:hAnsiTheme="minorHAnsi" w:cstheme="minorHAnsi"/>
              </w:rPr>
              <w:t>should be strengthened</w:t>
            </w:r>
            <w:r w:rsidRPr="0096553B">
              <w:rPr>
                <w:rFonts w:asciiTheme="minorHAnsi" w:hAnsiTheme="minorHAnsi" w:cstheme="minorHAnsi"/>
              </w:rPr>
              <w:t xml:space="preserve"> by a</w:t>
            </w:r>
            <w:r w:rsidR="00C47465" w:rsidRPr="0096553B">
              <w:rPr>
                <w:rFonts w:asciiTheme="minorHAnsi" w:hAnsiTheme="minorHAnsi" w:cstheme="minorHAnsi"/>
              </w:rPr>
              <w:t>dd</w:t>
            </w:r>
            <w:r w:rsidRPr="0096553B">
              <w:rPr>
                <w:rFonts w:asciiTheme="minorHAnsi" w:hAnsiTheme="minorHAnsi" w:cstheme="minorHAnsi"/>
              </w:rPr>
              <w:t>ing</w:t>
            </w:r>
            <w:r w:rsidR="00C47465" w:rsidRPr="0096553B">
              <w:rPr>
                <w:rFonts w:asciiTheme="minorHAnsi" w:hAnsiTheme="minorHAnsi" w:cstheme="minorHAnsi"/>
              </w:rPr>
              <w:t xml:space="preserve"> requirements that the log also include the originally scheduled p</w:t>
            </w:r>
            <w:r w:rsidR="00905484" w:rsidRPr="0096553B">
              <w:rPr>
                <w:rFonts w:asciiTheme="minorHAnsi" w:hAnsiTheme="minorHAnsi" w:cstheme="minorHAnsi"/>
              </w:rPr>
              <w:t>ick-up time for each member,</w:t>
            </w:r>
            <w:r w:rsidR="00C47465" w:rsidRPr="0096553B">
              <w:rPr>
                <w:rFonts w:asciiTheme="minorHAnsi" w:hAnsiTheme="minorHAnsi" w:cstheme="minorHAnsi"/>
              </w:rPr>
              <w:t xml:space="preserve"> originally scheduled drop-off time for each member, </w:t>
            </w:r>
            <w:r w:rsidR="00905484" w:rsidRPr="0096553B">
              <w:rPr>
                <w:rFonts w:asciiTheme="minorHAnsi" w:hAnsiTheme="minorHAnsi" w:cstheme="minorHAnsi"/>
              </w:rPr>
              <w:t>the</w:t>
            </w:r>
            <w:r w:rsidR="00C47465" w:rsidRPr="0096553B">
              <w:rPr>
                <w:rFonts w:asciiTheme="minorHAnsi" w:hAnsiTheme="minorHAnsi" w:cstheme="minorHAnsi"/>
              </w:rPr>
              <w:t xml:space="preserve"> member’s appointment time, </w:t>
            </w:r>
            <w:r w:rsidR="008133B4">
              <w:rPr>
                <w:rFonts w:asciiTheme="minorHAnsi" w:hAnsiTheme="minorHAnsi" w:cstheme="minorHAnsi"/>
              </w:rPr>
              <w:t xml:space="preserve">level of service requested, level of service provided, </w:t>
            </w:r>
            <w:r w:rsidR="00C47465" w:rsidRPr="0096553B">
              <w:rPr>
                <w:rFonts w:asciiTheme="minorHAnsi" w:hAnsiTheme="minorHAnsi" w:cstheme="minorHAnsi"/>
              </w:rPr>
              <w:t xml:space="preserve">and reasons for any </w:t>
            </w:r>
            <w:r w:rsidR="00905484" w:rsidRPr="0096553B">
              <w:rPr>
                <w:rFonts w:asciiTheme="minorHAnsi" w:hAnsiTheme="minorHAnsi" w:cstheme="minorHAnsi"/>
              </w:rPr>
              <w:t>issues that arose such as delayed pick-up or de</w:t>
            </w:r>
            <w:r w:rsidR="00596970" w:rsidRPr="0096553B">
              <w:rPr>
                <w:rFonts w:asciiTheme="minorHAnsi" w:hAnsiTheme="minorHAnsi" w:cstheme="minorHAnsi"/>
              </w:rPr>
              <w:t>layed drop-off</w:t>
            </w:r>
            <w:r w:rsidR="00906712" w:rsidRPr="0096553B">
              <w:rPr>
                <w:rFonts w:asciiTheme="minorHAnsi" w:hAnsiTheme="minorHAnsi" w:cstheme="minorHAnsi"/>
              </w:rPr>
              <w:t>.</w:t>
            </w:r>
            <w:r w:rsidR="00E45574" w:rsidRPr="0096553B">
              <w:rPr>
                <w:rFonts w:asciiTheme="minorHAnsi" w:hAnsiTheme="minorHAnsi" w:cstheme="minorHAnsi"/>
              </w:rPr>
              <w:t xml:space="preserve"> This information would </w:t>
            </w:r>
            <w:r w:rsidR="00AF0372" w:rsidRPr="0096553B">
              <w:rPr>
                <w:rFonts w:asciiTheme="minorHAnsi" w:hAnsiTheme="minorHAnsi" w:cstheme="minorHAnsi"/>
              </w:rPr>
              <w:t xml:space="preserve">better </w:t>
            </w:r>
            <w:r w:rsidR="00E45574" w:rsidRPr="0096553B">
              <w:rPr>
                <w:rFonts w:asciiTheme="minorHAnsi" w:hAnsiTheme="minorHAnsi" w:cstheme="minorHAnsi"/>
              </w:rPr>
              <w:t xml:space="preserve">enable the Contractor, the Department, and other stakeholders to assess </w:t>
            </w:r>
            <w:r w:rsidR="00182BB8" w:rsidRPr="0096553B">
              <w:rPr>
                <w:rFonts w:asciiTheme="minorHAnsi" w:hAnsiTheme="minorHAnsi" w:cstheme="minorHAnsi"/>
              </w:rPr>
              <w:t>the adequacy of service provision</w:t>
            </w:r>
            <w:r w:rsidR="00E45574" w:rsidRPr="0096553B">
              <w:rPr>
                <w:rFonts w:asciiTheme="minorHAnsi" w:hAnsiTheme="minorHAnsi" w:cstheme="minorHAnsi"/>
              </w:rPr>
              <w:t>.</w:t>
            </w:r>
          </w:p>
        </w:tc>
        <w:tc>
          <w:tcPr>
            <w:tcW w:w="1559" w:type="pct"/>
            <w:shd w:val="clear" w:color="auto" w:fill="D9D9D9" w:themeFill="background1" w:themeFillShade="D9"/>
          </w:tcPr>
          <w:p w14:paraId="7475C5E6" w14:textId="77777777" w:rsidR="00C47465" w:rsidRPr="0096553B" w:rsidRDefault="00C47465" w:rsidP="00702D5F">
            <w:pPr>
              <w:rPr>
                <w:rFonts w:asciiTheme="minorHAnsi" w:hAnsiTheme="minorHAnsi" w:cs="Arial"/>
                <w:color w:val="FF0000"/>
                <w:sz w:val="22"/>
                <w:szCs w:val="22"/>
              </w:rPr>
            </w:pPr>
          </w:p>
        </w:tc>
      </w:tr>
      <w:tr w:rsidR="008F1EA7" w:rsidRPr="0096553B" w14:paraId="5D8C8613" w14:textId="77777777" w:rsidTr="00F23332">
        <w:trPr>
          <w:trHeight w:val="1353"/>
          <w:jc w:val="center"/>
        </w:trPr>
        <w:tc>
          <w:tcPr>
            <w:tcW w:w="432" w:type="pct"/>
            <w:shd w:val="clear" w:color="auto" w:fill="auto"/>
            <w:vAlign w:val="center"/>
          </w:tcPr>
          <w:p w14:paraId="3D276C51" w14:textId="6AC3D874" w:rsidR="008F1EA7" w:rsidRPr="0096553B" w:rsidRDefault="008F1EA7" w:rsidP="00702D5F">
            <w:pPr>
              <w:jc w:val="center"/>
              <w:rPr>
                <w:rFonts w:asciiTheme="minorHAnsi" w:hAnsiTheme="minorHAnsi" w:cs="Arial"/>
                <w:sz w:val="22"/>
                <w:szCs w:val="22"/>
              </w:rPr>
            </w:pPr>
            <w:r w:rsidRPr="0096553B">
              <w:rPr>
                <w:rFonts w:asciiTheme="minorHAnsi" w:hAnsiTheme="minorHAnsi" w:cs="Arial"/>
                <w:sz w:val="22"/>
                <w:szCs w:val="22"/>
              </w:rPr>
              <w:lastRenderedPageBreak/>
              <w:t xml:space="preserve">4.10.27, </w:t>
            </w:r>
            <w:proofErr w:type="spellStart"/>
            <w:r w:rsidRPr="0096553B">
              <w:rPr>
                <w:rFonts w:asciiTheme="minorHAnsi" w:hAnsiTheme="minorHAnsi" w:cs="Arial"/>
                <w:sz w:val="22"/>
                <w:szCs w:val="22"/>
              </w:rPr>
              <w:t>pg</w:t>
            </w:r>
            <w:proofErr w:type="spellEnd"/>
            <w:r w:rsidRPr="0096553B">
              <w:rPr>
                <w:rFonts w:asciiTheme="minorHAnsi" w:hAnsiTheme="minorHAnsi" w:cs="Arial"/>
                <w:sz w:val="22"/>
                <w:szCs w:val="22"/>
              </w:rPr>
              <w:t xml:space="preserve"> 100</w:t>
            </w:r>
          </w:p>
        </w:tc>
        <w:tc>
          <w:tcPr>
            <w:tcW w:w="913" w:type="pct"/>
            <w:shd w:val="clear" w:color="auto" w:fill="auto"/>
            <w:vAlign w:val="center"/>
          </w:tcPr>
          <w:p w14:paraId="2C7337D8" w14:textId="69681F4A" w:rsidR="008F1EA7" w:rsidRPr="0096553B" w:rsidRDefault="008F1EA7" w:rsidP="00702D5F">
            <w:pPr>
              <w:pStyle w:val="Default"/>
              <w:rPr>
                <w:rFonts w:asciiTheme="minorHAnsi" w:hAnsiTheme="minorHAnsi" w:cstheme="minorHAnsi"/>
                <w:sz w:val="22"/>
                <w:szCs w:val="22"/>
              </w:rPr>
            </w:pPr>
            <w:r w:rsidRPr="0096553B">
              <w:rPr>
                <w:rFonts w:asciiTheme="minorHAnsi" w:hAnsiTheme="minorHAnsi" w:cstheme="minorHAnsi"/>
                <w:sz w:val="22"/>
                <w:szCs w:val="22"/>
              </w:rPr>
              <w:t>This section requires the Contractor to report missed trips on a weekly basis.</w:t>
            </w:r>
          </w:p>
        </w:tc>
        <w:tc>
          <w:tcPr>
            <w:tcW w:w="2096" w:type="pct"/>
            <w:shd w:val="clear" w:color="auto" w:fill="auto"/>
            <w:vAlign w:val="center"/>
          </w:tcPr>
          <w:p w14:paraId="5B3219D5" w14:textId="1B2D4F9A" w:rsidR="008F1EA7" w:rsidRPr="0096553B" w:rsidRDefault="008F1EA7" w:rsidP="00702D5F">
            <w:pPr>
              <w:pStyle w:val="ListParagraph"/>
              <w:spacing w:after="0" w:line="240" w:lineRule="auto"/>
              <w:ind w:left="0"/>
              <w:rPr>
                <w:rFonts w:asciiTheme="minorHAnsi" w:hAnsiTheme="minorHAnsi" w:cstheme="minorHAnsi"/>
              </w:rPr>
            </w:pPr>
            <w:r w:rsidRPr="0096553B">
              <w:rPr>
                <w:rFonts w:asciiTheme="minorHAnsi" w:hAnsiTheme="minorHAnsi" w:cstheme="minorHAnsi"/>
              </w:rPr>
              <w:t>This sect</w:t>
            </w:r>
            <w:r w:rsidR="00FC3F5D" w:rsidRPr="0096553B">
              <w:rPr>
                <w:rFonts w:asciiTheme="minorHAnsi" w:hAnsiTheme="minorHAnsi" w:cstheme="minorHAnsi"/>
              </w:rPr>
              <w:t xml:space="preserve">ion </w:t>
            </w:r>
            <w:r w:rsidR="00FE7349" w:rsidRPr="0096553B">
              <w:rPr>
                <w:rFonts w:asciiTheme="minorHAnsi" w:hAnsiTheme="minorHAnsi" w:cstheme="minorHAnsi"/>
              </w:rPr>
              <w:t xml:space="preserve">title should be changed from “Reporting Missed Trips” to “Reporting Transportation </w:t>
            </w:r>
            <w:r w:rsidR="009430F6" w:rsidRPr="0096553B">
              <w:rPr>
                <w:rFonts w:asciiTheme="minorHAnsi" w:hAnsiTheme="minorHAnsi" w:cstheme="minorHAnsi"/>
              </w:rPr>
              <w:t>Issue</w:t>
            </w:r>
            <w:r w:rsidR="00FE7349" w:rsidRPr="0096553B">
              <w:rPr>
                <w:rFonts w:asciiTheme="minorHAnsi" w:hAnsiTheme="minorHAnsi" w:cstheme="minorHAnsi"/>
              </w:rPr>
              <w:t xml:space="preserve">s,” and </w:t>
            </w:r>
            <w:r w:rsidR="00D259FA" w:rsidRPr="0096553B">
              <w:rPr>
                <w:rFonts w:asciiTheme="minorHAnsi" w:hAnsiTheme="minorHAnsi" w:cstheme="minorHAnsi"/>
              </w:rPr>
              <w:t>a new paragraph should be added requiring</w:t>
            </w:r>
            <w:r w:rsidR="00FE7349" w:rsidRPr="0096553B">
              <w:rPr>
                <w:rFonts w:asciiTheme="minorHAnsi" w:hAnsiTheme="minorHAnsi" w:cstheme="minorHAnsi"/>
              </w:rPr>
              <w:t xml:space="preserve"> the Contractor to report</w:t>
            </w:r>
            <w:r w:rsidR="00F0237A" w:rsidRPr="0096553B">
              <w:rPr>
                <w:rFonts w:asciiTheme="minorHAnsi" w:hAnsiTheme="minorHAnsi" w:cstheme="minorHAnsi"/>
              </w:rPr>
              <w:t xml:space="preserve"> </w:t>
            </w:r>
            <w:r w:rsidR="00761698" w:rsidRPr="0096553B">
              <w:rPr>
                <w:rFonts w:asciiTheme="minorHAnsi" w:hAnsiTheme="minorHAnsi" w:cstheme="minorHAnsi"/>
              </w:rPr>
              <w:t>information</w:t>
            </w:r>
            <w:r w:rsidR="00F0237A" w:rsidRPr="0096553B">
              <w:rPr>
                <w:rFonts w:asciiTheme="minorHAnsi" w:hAnsiTheme="minorHAnsi" w:cstheme="minorHAnsi"/>
              </w:rPr>
              <w:t xml:space="preserve"> on a monthly basis</w:t>
            </w:r>
            <w:r w:rsidR="00FE7349" w:rsidRPr="0096553B">
              <w:rPr>
                <w:rFonts w:asciiTheme="minorHAnsi" w:hAnsiTheme="minorHAnsi" w:cstheme="minorHAnsi"/>
              </w:rPr>
              <w:t xml:space="preserve"> regarding transportation </w:t>
            </w:r>
            <w:r w:rsidR="0064036D" w:rsidRPr="0096553B">
              <w:rPr>
                <w:rFonts w:asciiTheme="minorHAnsi" w:hAnsiTheme="minorHAnsi" w:cstheme="minorHAnsi"/>
              </w:rPr>
              <w:t>concerns beyond missed trips</w:t>
            </w:r>
            <w:r w:rsidR="00FC3F5D" w:rsidRPr="0096553B">
              <w:rPr>
                <w:rFonts w:asciiTheme="minorHAnsi" w:hAnsiTheme="minorHAnsi" w:cstheme="minorHAnsi"/>
              </w:rPr>
              <w:t>.</w:t>
            </w:r>
            <w:r w:rsidR="00107920" w:rsidRPr="0096553B">
              <w:rPr>
                <w:rFonts w:asciiTheme="minorHAnsi" w:hAnsiTheme="minorHAnsi" w:cstheme="minorHAnsi"/>
              </w:rPr>
              <w:t xml:space="preserve"> Missed trips are one indicator of inadequate transportation service provision, but there are several other indicators such as late trips</w:t>
            </w:r>
            <w:r w:rsidR="00967FC6" w:rsidRPr="0096553B">
              <w:rPr>
                <w:rFonts w:asciiTheme="minorHAnsi" w:hAnsiTheme="minorHAnsi" w:cstheme="minorHAnsi"/>
              </w:rPr>
              <w:t xml:space="preserve"> (</w:t>
            </w:r>
            <w:r w:rsidR="00107920" w:rsidRPr="0096553B">
              <w:rPr>
                <w:rFonts w:asciiTheme="minorHAnsi" w:hAnsiTheme="minorHAnsi" w:cstheme="minorHAnsi"/>
              </w:rPr>
              <w:t>which may result in the individual missing their appointment</w:t>
            </w:r>
            <w:r w:rsidR="00967FC6" w:rsidRPr="0096553B">
              <w:rPr>
                <w:rFonts w:asciiTheme="minorHAnsi" w:hAnsiTheme="minorHAnsi" w:cstheme="minorHAnsi"/>
              </w:rPr>
              <w:t>)</w:t>
            </w:r>
            <w:r w:rsidR="00107920" w:rsidRPr="0096553B">
              <w:rPr>
                <w:rFonts w:asciiTheme="minorHAnsi" w:hAnsiTheme="minorHAnsi" w:cstheme="minorHAnsi"/>
              </w:rPr>
              <w:t xml:space="preserve"> and individuals being dropped off at the wrong location </w:t>
            </w:r>
            <w:r w:rsidR="00967FC6" w:rsidRPr="0096553B">
              <w:rPr>
                <w:rFonts w:asciiTheme="minorHAnsi" w:hAnsiTheme="minorHAnsi" w:cstheme="minorHAnsi"/>
              </w:rPr>
              <w:t>(</w:t>
            </w:r>
            <w:r w:rsidR="00107920" w:rsidRPr="0096553B">
              <w:rPr>
                <w:rFonts w:asciiTheme="minorHAnsi" w:hAnsiTheme="minorHAnsi" w:cstheme="minorHAnsi"/>
              </w:rPr>
              <w:t>which has been reported before</w:t>
            </w:r>
            <w:r w:rsidR="00E81D3A" w:rsidRPr="0096553B">
              <w:rPr>
                <w:rFonts w:asciiTheme="minorHAnsi" w:hAnsiTheme="minorHAnsi" w:cstheme="minorHAnsi"/>
              </w:rPr>
              <w:t xml:space="preserve"> and poses grave safety concerns</w:t>
            </w:r>
            <w:r w:rsidR="00967FC6" w:rsidRPr="0096553B">
              <w:rPr>
                <w:rFonts w:asciiTheme="minorHAnsi" w:hAnsiTheme="minorHAnsi" w:cstheme="minorHAnsi"/>
              </w:rPr>
              <w:t xml:space="preserve"> f</w:t>
            </w:r>
            <w:r w:rsidR="00230B54" w:rsidRPr="0096553B">
              <w:rPr>
                <w:rFonts w:asciiTheme="minorHAnsi" w:hAnsiTheme="minorHAnsi" w:cstheme="minorHAnsi"/>
              </w:rPr>
              <w:t>or individuals with disabilities</w:t>
            </w:r>
            <w:r w:rsidR="00795DC2" w:rsidRPr="0096553B">
              <w:rPr>
                <w:rFonts w:asciiTheme="minorHAnsi" w:hAnsiTheme="minorHAnsi" w:cstheme="minorHAnsi"/>
              </w:rPr>
              <w:t>)</w:t>
            </w:r>
            <w:r w:rsidR="00230B54" w:rsidRPr="0096553B">
              <w:rPr>
                <w:rFonts w:asciiTheme="minorHAnsi" w:hAnsiTheme="minorHAnsi" w:cstheme="minorHAnsi"/>
              </w:rPr>
              <w:t xml:space="preserve">. </w:t>
            </w:r>
            <w:r w:rsidR="00020F44" w:rsidRPr="0096553B">
              <w:rPr>
                <w:rFonts w:asciiTheme="minorHAnsi" w:hAnsiTheme="minorHAnsi" w:cstheme="minorHAnsi"/>
              </w:rPr>
              <w:t>Complaint data may be the best way to get this information on a regular basis, since the provider trip log requirements are relatively limited at this point</w:t>
            </w:r>
            <w:r w:rsidR="00230B54" w:rsidRPr="0096553B">
              <w:rPr>
                <w:rFonts w:asciiTheme="minorHAnsi" w:hAnsiTheme="minorHAnsi" w:cstheme="minorHAnsi"/>
              </w:rPr>
              <w:t xml:space="preserve">, but any additional data available should be </w:t>
            </w:r>
            <w:r w:rsidR="0091478A" w:rsidRPr="0096553B">
              <w:rPr>
                <w:rFonts w:asciiTheme="minorHAnsi" w:hAnsiTheme="minorHAnsi" w:cstheme="minorHAnsi"/>
              </w:rPr>
              <w:t>report</w:t>
            </w:r>
            <w:r w:rsidR="00230B54" w:rsidRPr="0096553B">
              <w:rPr>
                <w:rFonts w:asciiTheme="minorHAnsi" w:hAnsiTheme="minorHAnsi" w:cstheme="minorHAnsi"/>
              </w:rPr>
              <w:t>ed as well</w:t>
            </w:r>
            <w:r w:rsidR="00020F44" w:rsidRPr="0096553B">
              <w:rPr>
                <w:rFonts w:asciiTheme="minorHAnsi" w:hAnsiTheme="minorHAnsi" w:cstheme="minorHAnsi"/>
              </w:rPr>
              <w:t>.</w:t>
            </w:r>
          </w:p>
        </w:tc>
        <w:tc>
          <w:tcPr>
            <w:tcW w:w="1559" w:type="pct"/>
            <w:shd w:val="clear" w:color="auto" w:fill="D9D9D9" w:themeFill="background1" w:themeFillShade="D9"/>
          </w:tcPr>
          <w:p w14:paraId="2C15DB58" w14:textId="77777777" w:rsidR="008F1EA7" w:rsidRPr="0096553B" w:rsidRDefault="008F1EA7" w:rsidP="00702D5F">
            <w:pPr>
              <w:rPr>
                <w:rFonts w:asciiTheme="minorHAnsi" w:hAnsiTheme="minorHAnsi" w:cs="Arial"/>
                <w:color w:val="FF0000"/>
                <w:sz w:val="22"/>
                <w:szCs w:val="22"/>
              </w:rPr>
            </w:pPr>
          </w:p>
        </w:tc>
      </w:tr>
      <w:tr w:rsidR="00C47465" w:rsidRPr="0096553B" w14:paraId="16F0E159" w14:textId="77777777" w:rsidTr="00F23332">
        <w:trPr>
          <w:trHeight w:val="1353"/>
          <w:jc w:val="center"/>
        </w:trPr>
        <w:tc>
          <w:tcPr>
            <w:tcW w:w="432" w:type="pct"/>
            <w:shd w:val="clear" w:color="auto" w:fill="auto"/>
            <w:vAlign w:val="center"/>
          </w:tcPr>
          <w:p w14:paraId="091CACD8" w14:textId="77777777" w:rsidR="00C47465" w:rsidRPr="0096553B" w:rsidRDefault="00A62C06" w:rsidP="00702D5F">
            <w:pPr>
              <w:jc w:val="center"/>
              <w:rPr>
                <w:rFonts w:ascii="Calibri" w:hAnsi="Calibri"/>
                <w:color w:val="000000"/>
                <w:sz w:val="22"/>
                <w:szCs w:val="22"/>
              </w:rPr>
            </w:pPr>
            <w:r w:rsidRPr="0096553B">
              <w:rPr>
                <w:rFonts w:ascii="Calibri" w:hAnsi="Calibri"/>
                <w:color w:val="000000"/>
                <w:sz w:val="22"/>
                <w:szCs w:val="22"/>
              </w:rPr>
              <w:t xml:space="preserve">4.10.28,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101</w:t>
            </w:r>
          </w:p>
        </w:tc>
        <w:tc>
          <w:tcPr>
            <w:tcW w:w="913" w:type="pct"/>
            <w:shd w:val="clear" w:color="auto" w:fill="auto"/>
            <w:vAlign w:val="center"/>
          </w:tcPr>
          <w:p w14:paraId="2C1F9BF5" w14:textId="77777777" w:rsidR="00A62C06" w:rsidRPr="0096553B" w:rsidRDefault="00A62C06" w:rsidP="00702D5F">
            <w:pPr>
              <w:autoSpaceDE w:val="0"/>
              <w:autoSpaceDN w:val="0"/>
              <w:adjustRightInd w:val="0"/>
              <w:rPr>
                <w:rFonts w:asciiTheme="minorHAnsi" w:eastAsia="Calibri" w:hAnsiTheme="minorHAnsi" w:cstheme="minorHAnsi"/>
                <w:color w:val="000000"/>
                <w:sz w:val="22"/>
                <w:szCs w:val="22"/>
              </w:rPr>
            </w:pPr>
            <w:r w:rsidRPr="0096553B">
              <w:rPr>
                <w:rFonts w:asciiTheme="minorHAnsi" w:eastAsia="Calibri" w:hAnsiTheme="minorHAnsi" w:cstheme="minorHAnsi"/>
                <w:color w:val="000000"/>
                <w:sz w:val="22"/>
                <w:szCs w:val="22"/>
              </w:rPr>
              <w:t>“4. Provide an analysis of the activities that the Contractor has in place that support the goal of ensuring that CL, BI, FIS (ID/DD) Waiver members have access to transportation services that are of ‘good quality, appropriate, available and accessible to the CL, BI, FIS (ID/DD) population.</w:t>
            </w:r>
            <w:r w:rsidR="00EE1DD9" w:rsidRPr="0096553B">
              <w:rPr>
                <w:rFonts w:asciiTheme="minorHAnsi" w:eastAsia="Calibri" w:hAnsiTheme="minorHAnsi" w:cstheme="minorHAnsi"/>
                <w:color w:val="FF0000"/>
                <w:sz w:val="22"/>
                <w:szCs w:val="22"/>
                <w:u w:val="single"/>
              </w:rPr>
              <w:t xml:space="preserve"> The </w:t>
            </w:r>
            <w:r w:rsidR="00EE1DD9" w:rsidRPr="0096553B">
              <w:rPr>
                <w:rFonts w:asciiTheme="minorHAnsi" w:eastAsia="Calibri" w:hAnsiTheme="minorHAnsi" w:cstheme="minorHAnsi"/>
                <w:color w:val="FF0000"/>
                <w:sz w:val="22"/>
                <w:szCs w:val="22"/>
                <w:u w:val="single"/>
              </w:rPr>
              <w:lastRenderedPageBreak/>
              <w:t>analysis should include suggestions for improvement.</w:t>
            </w:r>
            <w:r w:rsidRPr="0096553B">
              <w:rPr>
                <w:rFonts w:asciiTheme="minorHAnsi" w:eastAsia="Calibri" w:hAnsiTheme="minorHAnsi" w:cstheme="minorHAnsi"/>
                <w:color w:val="000000"/>
                <w:sz w:val="22"/>
                <w:szCs w:val="22"/>
              </w:rPr>
              <w:t>’”</w:t>
            </w:r>
          </w:p>
          <w:p w14:paraId="53AED667" w14:textId="77777777" w:rsidR="00C47465" w:rsidRPr="0096553B" w:rsidRDefault="00C47465" w:rsidP="00702D5F">
            <w:pPr>
              <w:jc w:val="center"/>
              <w:rPr>
                <w:rFonts w:asciiTheme="minorHAnsi" w:hAnsiTheme="minorHAnsi" w:cstheme="minorHAnsi"/>
                <w:color w:val="000000"/>
                <w:sz w:val="22"/>
                <w:szCs w:val="22"/>
              </w:rPr>
            </w:pPr>
          </w:p>
        </w:tc>
        <w:tc>
          <w:tcPr>
            <w:tcW w:w="2096" w:type="pct"/>
            <w:shd w:val="clear" w:color="auto" w:fill="auto"/>
            <w:vAlign w:val="center"/>
          </w:tcPr>
          <w:p w14:paraId="7564036F" w14:textId="77777777" w:rsidR="00C47465" w:rsidRPr="0096553B" w:rsidRDefault="00EE1DD9" w:rsidP="00702D5F">
            <w:pPr>
              <w:pStyle w:val="ListParagraph"/>
              <w:spacing w:after="0" w:line="240" w:lineRule="auto"/>
              <w:ind w:left="0"/>
              <w:rPr>
                <w:rFonts w:asciiTheme="minorHAnsi" w:hAnsiTheme="minorHAnsi" w:cstheme="minorHAnsi"/>
                <w:bCs/>
              </w:rPr>
            </w:pPr>
            <w:r w:rsidRPr="0096553B">
              <w:rPr>
                <w:rFonts w:asciiTheme="minorHAnsi" w:hAnsiTheme="minorHAnsi" w:cstheme="minorHAnsi"/>
              </w:rPr>
              <w:lastRenderedPageBreak/>
              <w:t>This provision</w:t>
            </w:r>
            <w:r w:rsidR="00A62C06" w:rsidRPr="0096553B">
              <w:rPr>
                <w:rFonts w:asciiTheme="minorHAnsi" w:hAnsiTheme="minorHAnsi" w:cstheme="minorHAnsi"/>
              </w:rPr>
              <w:t xml:space="preserve"> could be further strengthened by specifying that the Contractor includes suggestions for improvement in its </w:t>
            </w:r>
            <w:r w:rsidR="007A6B90" w:rsidRPr="0096553B">
              <w:rPr>
                <w:rFonts w:asciiTheme="minorHAnsi" w:hAnsiTheme="minorHAnsi" w:cstheme="minorHAnsi"/>
              </w:rPr>
              <w:t>analysi</w:t>
            </w:r>
            <w:r w:rsidR="00A62C06" w:rsidRPr="0096553B">
              <w:rPr>
                <w:rFonts w:asciiTheme="minorHAnsi" w:hAnsiTheme="minorHAnsi" w:cstheme="minorHAnsi"/>
              </w:rPr>
              <w:t>s. This encourages the Contractor to identify areas that can be improved, not just areas that are satisfactory.</w:t>
            </w:r>
          </w:p>
        </w:tc>
        <w:tc>
          <w:tcPr>
            <w:tcW w:w="1559" w:type="pct"/>
            <w:shd w:val="clear" w:color="auto" w:fill="D9D9D9" w:themeFill="background1" w:themeFillShade="D9"/>
          </w:tcPr>
          <w:p w14:paraId="18E4A73F" w14:textId="77777777" w:rsidR="00C47465" w:rsidRPr="0096553B" w:rsidRDefault="00C47465" w:rsidP="00702D5F">
            <w:pPr>
              <w:rPr>
                <w:rFonts w:asciiTheme="minorHAnsi" w:hAnsiTheme="minorHAnsi" w:cs="Arial"/>
                <w:color w:val="FF0000"/>
                <w:sz w:val="22"/>
                <w:szCs w:val="22"/>
              </w:rPr>
            </w:pPr>
          </w:p>
        </w:tc>
      </w:tr>
      <w:tr w:rsidR="00C47465" w:rsidRPr="0096553B" w14:paraId="60A8F3A5" w14:textId="77777777" w:rsidTr="00F23332">
        <w:trPr>
          <w:trHeight w:val="1353"/>
          <w:jc w:val="center"/>
        </w:trPr>
        <w:tc>
          <w:tcPr>
            <w:tcW w:w="432" w:type="pct"/>
            <w:shd w:val="clear" w:color="auto" w:fill="auto"/>
            <w:vAlign w:val="center"/>
          </w:tcPr>
          <w:p w14:paraId="3201D56C" w14:textId="77777777" w:rsidR="00C47465" w:rsidRPr="0096553B" w:rsidRDefault="00C97F35" w:rsidP="00702D5F">
            <w:pPr>
              <w:jc w:val="center"/>
              <w:rPr>
                <w:rFonts w:asciiTheme="minorHAnsi" w:hAnsiTheme="minorHAnsi"/>
                <w:color w:val="000000"/>
                <w:sz w:val="22"/>
                <w:szCs w:val="22"/>
              </w:rPr>
            </w:pPr>
            <w:r w:rsidRPr="0096553B">
              <w:rPr>
                <w:rFonts w:asciiTheme="minorHAnsi" w:hAnsiTheme="minorHAnsi"/>
                <w:color w:val="000000"/>
                <w:sz w:val="22"/>
                <w:szCs w:val="22"/>
              </w:rPr>
              <w:lastRenderedPageBreak/>
              <w:t xml:space="preserve">5.2.1.1, </w:t>
            </w:r>
            <w:proofErr w:type="spellStart"/>
            <w:r w:rsidRPr="0096553B">
              <w:rPr>
                <w:rFonts w:asciiTheme="minorHAnsi" w:hAnsiTheme="minorHAnsi"/>
                <w:color w:val="000000"/>
                <w:sz w:val="22"/>
                <w:szCs w:val="22"/>
              </w:rPr>
              <w:t>pg</w:t>
            </w:r>
            <w:proofErr w:type="spellEnd"/>
            <w:r w:rsidRPr="0096553B">
              <w:rPr>
                <w:rFonts w:asciiTheme="minorHAnsi" w:hAnsiTheme="minorHAnsi"/>
                <w:color w:val="000000"/>
                <w:sz w:val="22"/>
                <w:szCs w:val="22"/>
              </w:rPr>
              <w:t xml:space="preserve"> 107</w:t>
            </w:r>
          </w:p>
        </w:tc>
        <w:tc>
          <w:tcPr>
            <w:tcW w:w="913" w:type="pct"/>
            <w:shd w:val="clear" w:color="auto" w:fill="auto"/>
            <w:vAlign w:val="center"/>
          </w:tcPr>
          <w:p w14:paraId="0B654BA8" w14:textId="4AB0D268" w:rsidR="00C47465" w:rsidRPr="0096553B" w:rsidRDefault="00C97F35" w:rsidP="00FF1BB2">
            <w:pPr>
              <w:pStyle w:val="Default"/>
              <w:rPr>
                <w:rFonts w:asciiTheme="minorHAnsi" w:hAnsiTheme="minorHAnsi" w:cstheme="minorHAnsi"/>
                <w:sz w:val="22"/>
                <w:szCs w:val="22"/>
              </w:rPr>
            </w:pPr>
            <w:r w:rsidRPr="0096553B">
              <w:rPr>
                <w:rFonts w:asciiTheme="minorHAnsi" w:hAnsiTheme="minorHAnsi" w:cstheme="minorHAnsi"/>
                <w:sz w:val="22"/>
                <w:szCs w:val="22"/>
              </w:rPr>
              <w:t xml:space="preserve">“At a </w:t>
            </w:r>
            <w:r w:rsidR="00FF1BB2">
              <w:rPr>
                <w:rFonts w:asciiTheme="minorHAnsi" w:hAnsiTheme="minorHAnsi" w:cstheme="minorHAnsi"/>
                <w:sz w:val="22"/>
                <w:szCs w:val="22"/>
              </w:rPr>
              <w:t>m</w:t>
            </w:r>
            <w:r w:rsidRPr="0096553B">
              <w:rPr>
                <w:rFonts w:asciiTheme="minorHAnsi" w:hAnsiTheme="minorHAnsi" w:cstheme="minorHAnsi"/>
                <w:sz w:val="22"/>
                <w:szCs w:val="22"/>
              </w:rPr>
              <w:t xml:space="preserve">inimum, the Contractor’s HRA shall effectively identify the Member’s unmet needs, and shall encompass social factors (such as housing, informal supports, and employment), functional, medical, behavioral, cognitive, LTSS, wellness and preventive domains, the Member’s strengths and goals, the need for any specialists, community resources used or available for the Member, the Member’s desires related to their health care needs </w:t>
            </w:r>
            <w:r w:rsidRPr="0096553B">
              <w:rPr>
                <w:rFonts w:asciiTheme="minorHAnsi" w:hAnsiTheme="minorHAnsi" w:cstheme="minorHAnsi"/>
                <w:strike/>
                <w:color w:val="FF0000"/>
                <w:sz w:val="22"/>
                <w:szCs w:val="22"/>
              </w:rPr>
              <w:t>(as</w:t>
            </w:r>
            <w:r w:rsidRPr="0096553B">
              <w:rPr>
                <w:rFonts w:asciiTheme="minorHAnsi" w:hAnsiTheme="minorHAnsi" w:cstheme="minorHAnsi"/>
                <w:color w:val="FF0000"/>
                <w:sz w:val="22"/>
                <w:szCs w:val="22"/>
              </w:rPr>
              <w:t xml:space="preserve"> </w:t>
            </w:r>
            <w:r w:rsidRPr="0096553B">
              <w:rPr>
                <w:rFonts w:asciiTheme="minorHAnsi" w:hAnsiTheme="minorHAnsi" w:cstheme="minorHAnsi"/>
                <w:strike/>
                <w:color w:val="FF0000"/>
                <w:sz w:val="22"/>
                <w:szCs w:val="22"/>
              </w:rPr>
              <w:t>appropriate)</w:t>
            </w:r>
            <w:r w:rsidRPr="0096553B">
              <w:rPr>
                <w:rFonts w:asciiTheme="minorHAnsi" w:hAnsiTheme="minorHAnsi" w:cstheme="minorHAnsi"/>
                <w:sz w:val="22"/>
                <w:szCs w:val="22"/>
              </w:rPr>
              <w:t xml:space="preserve">, and the person-centered ICP </w:t>
            </w:r>
            <w:r w:rsidRPr="0096553B">
              <w:rPr>
                <w:rFonts w:asciiTheme="minorHAnsi" w:hAnsiTheme="minorHAnsi" w:cstheme="minorHAnsi"/>
                <w:sz w:val="22"/>
                <w:szCs w:val="22"/>
              </w:rPr>
              <w:lastRenderedPageBreak/>
              <w:t>maintenance.”</w:t>
            </w:r>
          </w:p>
        </w:tc>
        <w:tc>
          <w:tcPr>
            <w:tcW w:w="2096" w:type="pct"/>
            <w:shd w:val="clear" w:color="auto" w:fill="auto"/>
            <w:vAlign w:val="center"/>
          </w:tcPr>
          <w:p w14:paraId="48142115" w14:textId="77777777" w:rsidR="00C47465" w:rsidRPr="0096553B" w:rsidRDefault="009A0203" w:rsidP="00702D5F">
            <w:pPr>
              <w:rPr>
                <w:rFonts w:asciiTheme="minorHAnsi" w:hAnsiTheme="minorHAnsi" w:cstheme="minorHAnsi"/>
                <w:color w:val="000000"/>
                <w:sz w:val="22"/>
                <w:szCs w:val="22"/>
              </w:rPr>
            </w:pPr>
            <w:r w:rsidRPr="0096553B">
              <w:rPr>
                <w:rFonts w:asciiTheme="minorHAnsi" w:hAnsiTheme="minorHAnsi" w:cstheme="minorHAnsi"/>
                <w:sz w:val="22"/>
                <w:szCs w:val="22"/>
              </w:rPr>
              <w:lastRenderedPageBreak/>
              <w:t>This provision</w:t>
            </w:r>
            <w:r w:rsidR="0037705D" w:rsidRPr="0096553B">
              <w:rPr>
                <w:rFonts w:asciiTheme="minorHAnsi" w:hAnsiTheme="minorHAnsi" w:cstheme="minorHAnsi"/>
                <w:sz w:val="22"/>
                <w:szCs w:val="22"/>
              </w:rPr>
              <w:t xml:space="preserve"> implies that the Contractor can decide when the Member’s</w:t>
            </w:r>
            <w:r w:rsidRPr="0096553B">
              <w:rPr>
                <w:rFonts w:asciiTheme="minorHAnsi" w:hAnsiTheme="minorHAnsi" w:cstheme="minorHAnsi"/>
                <w:sz w:val="22"/>
                <w:szCs w:val="22"/>
              </w:rPr>
              <w:t xml:space="preserve"> health-related</w:t>
            </w:r>
            <w:r w:rsidR="0037705D" w:rsidRPr="0096553B">
              <w:rPr>
                <w:rFonts w:asciiTheme="minorHAnsi" w:hAnsiTheme="minorHAnsi" w:cstheme="minorHAnsi"/>
                <w:sz w:val="22"/>
                <w:szCs w:val="22"/>
              </w:rPr>
              <w:t xml:space="preserve"> desires should be considered,</w:t>
            </w:r>
            <w:r w:rsidRPr="0096553B">
              <w:rPr>
                <w:rFonts w:asciiTheme="minorHAnsi" w:hAnsiTheme="minorHAnsi" w:cstheme="minorHAnsi"/>
                <w:sz w:val="22"/>
                <w:szCs w:val="22"/>
              </w:rPr>
              <w:t xml:space="preserve"> but</w:t>
            </w:r>
            <w:r w:rsidR="0037705D" w:rsidRPr="0096553B">
              <w:rPr>
                <w:rFonts w:asciiTheme="minorHAnsi" w:hAnsiTheme="minorHAnsi" w:cstheme="minorHAnsi"/>
                <w:sz w:val="22"/>
                <w:szCs w:val="22"/>
              </w:rPr>
              <w:t xml:space="preserve"> the Member’s desires should always be considered in a person-centered approach.</w:t>
            </w:r>
          </w:p>
        </w:tc>
        <w:tc>
          <w:tcPr>
            <w:tcW w:w="1559" w:type="pct"/>
            <w:shd w:val="clear" w:color="auto" w:fill="D9D9D9" w:themeFill="background1" w:themeFillShade="D9"/>
          </w:tcPr>
          <w:p w14:paraId="4745ED2F" w14:textId="77777777" w:rsidR="00C47465" w:rsidRPr="0096553B" w:rsidRDefault="00C47465" w:rsidP="00702D5F">
            <w:pPr>
              <w:rPr>
                <w:rFonts w:asciiTheme="minorHAnsi" w:hAnsiTheme="minorHAnsi" w:cs="Arial"/>
                <w:color w:val="FF0000"/>
                <w:sz w:val="22"/>
                <w:szCs w:val="22"/>
                <w:highlight w:val="yellow"/>
              </w:rPr>
            </w:pPr>
          </w:p>
        </w:tc>
      </w:tr>
      <w:tr w:rsidR="00C47465" w:rsidRPr="0096553B" w14:paraId="3510FD57" w14:textId="77777777" w:rsidTr="00F23332">
        <w:trPr>
          <w:trHeight w:val="1353"/>
          <w:jc w:val="center"/>
        </w:trPr>
        <w:tc>
          <w:tcPr>
            <w:tcW w:w="432" w:type="pct"/>
            <w:shd w:val="clear" w:color="auto" w:fill="auto"/>
            <w:vAlign w:val="center"/>
          </w:tcPr>
          <w:p w14:paraId="4C97FD66" w14:textId="77777777" w:rsidR="00C47465" w:rsidRPr="0096553B" w:rsidRDefault="003A2D65" w:rsidP="00702D5F">
            <w:pPr>
              <w:jc w:val="center"/>
              <w:rPr>
                <w:rFonts w:asciiTheme="minorHAnsi" w:hAnsiTheme="minorHAnsi" w:cstheme="minorHAnsi"/>
                <w:sz w:val="22"/>
                <w:szCs w:val="22"/>
              </w:rPr>
            </w:pPr>
            <w:r w:rsidRPr="0096553B">
              <w:rPr>
                <w:rFonts w:asciiTheme="minorHAnsi" w:hAnsiTheme="minorHAnsi" w:cstheme="minorHAnsi"/>
                <w:sz w:val="22"/>
                <w:szCs w:val="22"/>
              </w:rPr>
              <w:lastRenderedPageBreak/>
              <w:t xml:space="preserve">5.2.3, </w:t>
            </w:r>
            <w:proofErr w:type="spellStart"/>
            <w:r w:rsidRPr="0096553B">
              <w:rPr>
                <w:rFonts w:asciiTheme="minorHAnsi" w:hAnsiTheme="minorHAnsi" w:cstheme="minorHAnsi"/>
                <w:sz w:val="22"/>
                <w:szCs w:val="22"/>
              </w:rPr>
              <w:t>pg</w:t>
            </w:r>
            <w:proofErr w:type="spellEnd"/>
            <w:r w:rsidRPr="0096553B">
              <w:rPr>
                <w:rFonts w:asciiTheme="minorHAnsi" w:hAnsiTheme="minorHAnsi" w:cstheme="minorHAnsi"/>
                <w:sz w:val="22"/>
                <w:szCs w:val="22"/>
              </w:rPr>
              <w:t xml:space="preserve"> 108-9</w:t>
            </w:r>
          </w:p>
        </w:tc>
        <w:tc>
          <w:tcPr>
            <w:tcW w:w="913" w:type="pct"/>
            <w:shd w:val="clear" w:color="auto" w:fill="auto"/>
            <w:vAlign w:val="center"/>
          </w:tcPr>
          <w:p w14:paraId="7DE10093" w14:textId="77777777" w:rsidR="00C47465" w:rsidRPr="0096553B" w:rsidRDefault="003A2D65" w:rsidP="00702D5F">
            <w:pPr>
              <w:rPr>
                <w:rFonts w:asciiTheme="minorHAnsi" w:hAnsiTheme="minorHAnsi" w:cstheme="minorHAnsi"/>
                <w:sz w:val="22"/>
                <w:szCs w:val="22"/>
              </w:rPr>
            </w:pPr>
            <w:r w:rsidRPr="0096553B">
              <w:rPr>
                <w:rFonts w:asciiTheme="minorHAnsi" w:hAnsiTheme="minorHAnsi" w:cstheme="minorHAnsi"/>
                <w:bCs/>
                <w:sz w:val="22"/>
                <w:szCs w:val="22"/>
              </w:rPr>
              <w:t>“</w:t>
            </w:r>
            <w:r w:rsidRPr="0096553B">
              <w:rPr>
                <w:rFonts w:asciiTheme="minorHAnsi" w:hAnsiTheme="minorHAnsi" w:cstheme="minorHAnsi"/>
                <w:sz w:val="22"/>
                <w:szCs w:val="22"/>
              </w:rPr>
              <w:t>The Contractor’s Care Coordinators shall make accommodations available at no charge to the Member that address the needs of Members with communication impairments (e.g., hearing</w:t>
            </w:r>
            <w:r w:rsidR="00D403B7" w:rsidRPr="0096553B">
              <w:rPr>
                <w:rFonts w:asciiTheme="minorHAnsi" w:hAnsiTheme="minorHAnsi" w:cstheme="minorHAnsi"/>
                <w:color w:val="FF0000"/>
                <w:sz w:val="22"/>
                <w:szCs w:val="22"/>
                <w:u w:val="single"/>
              </w:rPr>
              <w:t>, speech, cognitive,</w:t>
            </w:r>
            <w:r w:rsidRPr="0096553B">
              <w:rPr>
                <w:rFonts w:asciiTheme="minorHAnsi" w:hAnsiTheme="minorHAnsi" w:cstheme="minorHAnsi"/>
                <w:sz w:val="22"/>
                <w:szCs w:val="22"/>
              </w:rPr>
              <w:t xml:space="preserve"> and vision limitations) and Members with limited English proficiency, in a culturally and developmentally appropriate manner </w:t>
            </w:r>
            <w:r w:rsidRPr="0096553B">
              <w:rPr>
                <w:rFonts w:asciiTheme="minorHAnsi" w:hAnsiTheme="minorHAnsi" w:cstheme="minorHAnsi"/>
                <w:strike/>
                <w:color w:val="FF0000"/>
                <w:sz w:val="22"/>
                <w:szCs w:val="22"/>
              </w:rPr>
              <w:t>and shall consider a Member’s physical and cognitive abilities and level of literacy in the assessment process</w:t>
            </w:r>
            <w:r w:rsidR="00D403B7" w:rsidRPr="0096553B">
              <w:rPr>
                <w:rFonts w:asciiTheme="minorHAnsi" w:hAnsiTheme="minorHAnsi" w:cstheme="minorHAnsi"/>
                <w:strike/>
                <w:color w:val="FF0000"/>
                <w:sz w:val="22"/>
                <w:szCs w:val="22"/>
              </w:rPr>
              <w:t xml:space="preserve"> </w:t>
            </w:r>
            <w:r w:rsidR="00D403B7" w:rsidRPr="0096553B">
              <w:rPr>
                <w:rFonts w:asciiTheme="minorHAnsi" w:hAnsiTheme="minorHAnsi" w:cstheme="minorHAnsi"/>
                <w:color w:val="FF0000"/>
                <w:sz w:val="22"/>
                <w:szCs w:val="22"/>
                <w:u w:val="single"/>
              </w:rPr>
              <w:t xml:space="preserve">that ensures accessible </w:t>
            </w:r>
            <w:r w:rsidR="00D403B7" w:rsidRPr="0096553B">
              <w:rPr>
                <w:rFonts w:asciiTheme="minorHAnsi" w:hAnsiTheme="minorHAnsi" w:cstheme="minorHAnsi"/>
                <w:color w:val="FF0000"/>
                <w:sz w:val="22"/>
                <w:szCs w:val="22"/>
                <w:u w:val="single"/>
              </w:rPr>
              <w:lastRenderedPageBreak/>
              <w:t>communication</w:t>
            </w:r>
            <w:r w:rsidRPr="0096553B">
              <w:rPr>
                <w:rFonts w:asciiTheme="minorHAnsi" w:hAnsiTheme="minorHAnsi" w:cstheme="minorHAnsi"/>
                <w:sz w:val="22"/>
                <w:szCs w:val="22"/>
              </w:rPr>
              <w:t>.”</w:t>
            </w:r>
          </w:p>
        </w:tc>
        <w:tc>
          <w:tcPr>
            <w:tcW w:w="2096" w:type="pct"/>
            <w:shd w:val="clear" w:color="auto" w:fill="auto"/>
            <w:vAlign w:val="center"/>
          </w:tcPr>
          <w:p w14:paraId="3BE01564" w14:textId="77777777" w:rsidR="00D403B7" w:rsidRPr="0096553B" w:rsidRDefault="00D403B7" w:rsidP="00702D5F">
            <w:pPr>
              <w:rPr>
                <w:rFonts w:asciiTheme="minorHAnsi" w:hAnsiTheme="minorHAnsi" w:cstheme="minorHAnsi"/>
                <w:sz w:val="22"/>
                <w:szCs w:val="22"/>
              </w:rPr>
            </w:pPr>
            <w:r w:rsidRPr="0096553B">
              <w:rPr>
                <w:rFonts w:asciiTheme="minorHAnsi" w:hAnsiTheme="minorHAnsi" w:cstheme="minorHAnsi"/>
                <w:sz w:val="22"/>
                <w:szCs w:val="22"/>
              </w:rPr>
              <w:lastRenderedPageBreak/>
              <w:t xml:space="preserve">This provision </w:t>
            </w:r>
            <w:r w:rsidR="006916C1" w:rsidRPr="0096553B">
              <w:rPr>
                <w:rFonts w:asciiTheme="minorHAnsi" w:hAnsiTheme="minorHAnsi" w:cstheme="minorHAnsi"/>
                <w:sz w:val="22"/>
                <w:szCs w:val="22"/>
              </w:rPr>
              <w:t>should be strengthened</w:t>
            </w:r>
            <w:r w:rsidRPr="0096553B">
              <w:rPr>
                <w:rFonts w:asciiTheme="minorHAnsi" w:hAnsiTheme="minorHAnsi" w:cstheme="minorHAnsi"/>
                <w:sz w:val="22"/>
                <w:szCs w:val="22"/>
              </w:rPr>
              <w:t xml:space="preserve"> by including a more comprehensive list of the types of communication impairments. </w:t>
            </w:r>
          </w:p>
          <w:p w14:paraId="1EA17F43" w14:textId="77777777" w:rsidR="00D403B7" w:rsidRPr="0096553B" w:rsidRDefault="00D403B7" w:rsidP="00702D5F">
            <w:pPr>
              <w:rPr>
                <w:rFonts w:asciiTheme="minorHAnsi" w:hAnsiTheme="minorHAnsi" w:cstheme="minorHAnsi"/>
                <w:sz w:val="22"/>
                <w:szCs w:val="22"/>
              </w:rPr>
            </w:pPr>
          </w:p>
          <w:p w14:paraId="349BF054" w14:textId="77777777" w:rsidR="00C47465" w:rsidRPr="0096553B" w:rsidRDefault="00D403B7" w:rsidP="00702D5F">
            <w:pPr>
              <w:rPr>
                <w:rFonts w:asciiTheme="minorHAnsi" w:hAnsiTheme="minorHAnsi" w:cstheme="minorHAnsi"/>
                <w:sz w:val="22"/>
                <w:szCs w:val="22"/>
              </w:rPr>
            </w:pPr>
            <w:r w:rsidRPr="0096553B">
              <w:rPr>
                <w:rFonts w:asciiTheme="minorHAnsi" w:hAnsiTheme="minorHAnsi" w:cstheme="minorHAnsi"/>
                <w:sz w:val="22"/>
                <w:szCs w:val="22"/>
              </w:rPr>
              <w:t>This provision could also be strengthened by re</w:t>
            </w:r>
            <w:r w:rsidR="00EE3649" w:rsidRPr="0096553B">
              <w:rPr>
                <w:rFonts w:asciiTheme="minorHAnsi" w:hAnsiTheme="minorHAnsi" w:cstheme="minorHAnsi"/>
                <w:sz w:val="22"/>
                <w:szCs w:val="22"/>
              </w:rPr>
              <w:t>placing</w:t>
            </w:r>
            <w:r w:rsidRPr="0096553B">
              <w:rPr>
                <w:rFonts w:asciiTheme="minorHAnsi" w:hAnsiTheme="minorHAnsi" w:cstheme="minorHAnsi"/>
                <w:sz w:val="22"/>
                <w:szCs w:val="22"/>
              </w:rPr>
              <w:t xml:space="preserve"> the reference to consider abilities and literacy levels in the assessment process, which is vague</w:t>
            </w:r>
            <w:r w:rsidR="00EE3649" w:rsidRPr="0096553B">
              <w:rPr>
                <w:rFonts w:asciiTheme="minorHAnsi" w:hAnsiTheme="minorHAnsi" w:cstheme="minorHAnsi"/>
                <w:sz w:val="22"/>
                <w:szCs w:val="22"/>
              </w:rPr>
              <w:t>, with the assurance that communication be accessible</w:t>
            </w:r>
            <w:r w:rsidRPr="0096553B">
              <w:rPr>
                <w:rFonts w:asciiTheme="minorHAnsi" w:hAnsiTheme="minorHAnsi" w:cstheme="minorHAnsi"/>
                <w:sz w:val="22"/>
                <w:szCs w:val="22"/>
              </w:rPr>
              <w:t>.</w:t>
            </w:r>
          </w:p>
        </w:tc>
        <w:tc>
          <w:tcPr>
            <w:tcW w:w="1559" w:type="pct"/>
            <w:shd w:val="clear" w:color="auto" w:fill="D9D9D9" w:themeFill="background1" w:themeFillShade="D9"/>
          </w:tcPr>
          <w:p w14:paraId="5D5F88D3" w14:textId="77777777" w:rsidR="00C47465" w:rsidRPr="0096553B" w:rsidRDefault="00C47465" w:rsidP="00702D5F">
            <w:pPr>
              <w:rPr>
                <w:rFonts w:asciiTheme="minorHAnsi" w:hAnsiTheme="minorHAnsi" w:cs="Arial"/>
                <w:color w:val="FF0000"/>
                <w:sz w:val="22"/>
                <w:szCs w:val="22"/>
              </w:rPr>
            </w:pPr>
          </w:p>
        </w:tc>
      </w:tr>
      <w:tr w:rsidR="00C47465" w:rsidRPr="0096553B" w14:paraId="5846F0A2" w14:textId="77777777" w:rsidTr="00F23332">
        <w:trPr>
          <w:trHeight w:val="1353"/>
          <w:jc w:val="center"/>
        </w:trPr>
        <w:tc>
          <w:tcPr>
            <w:tcW w:w="432" w:type="pct"/>
            <w:shd w:val="clear" w:color="auto" w:fill="auto"/>
            <w:vAlign w:val="center"/>
          </w:tcPr>
          <w:p w14:paraId="67D3C1A7" w14:textId="77777777" w:rsidR="00C47465" w:rsidRPr="0096553B" w:rsidRDefault="00FE12E2" w:rsidP="00702D5F">
            <w:pPr>
              <w:jc w:val="both"/>
              <w:rPr>
                <w:rFonts w:asciiTheme="minorHAnsi" w:hAnsiTheme="minorHAnsi" w:cstheme="minorHAnsi"/>
                <w:sz w:val="22"/>
                <w:szCs w:val="22"/>
              </w:rPr>
            </w:pPr>
            <w:r w:rsidRPr="0096553B">
              <w:rPr>
                <w:rFonts w:asciiTheme="minorHAnsi" w:hAnsiTheme="minorHAnsi" w:cstheme="minorHAnsi"/>
                <w:sz w:val="22"/>
                <w:szCs w:val="22"/>
              </w:rPr>
              <w:lastRenderedPageBreak/>
              <w:t xml:space="preserve">5.3.2, </w:t>
            </w:r>
            <w:proofErr w:type="spellStart"/>
            <w:r w:rsidRPr="0096553B">
              <w:rPr>
                <w:rFonts w:asciiTheme="minorHAnsi" w:hAnsiTheme="minorHAnsi" w:cstheme="minorHAnsi"/>
                <w:sz w:val="22"/>
                <w:szCs w:val="22"/>
              </w:rPr>
              <w:t>pg</w:t>
            </w:r>
            <w:proofErr w:type="spellEnd"/>
            <w:r w:rsidRPr="0096553B">
              <w:rPr>
                <w:rFonts w:asciiTheme="minorHAnsi" w:hAnsiTheme="minorHAnsi" w:cstheme="minorHAnsi"/>
                <w:sz w:val="22"/>
                <w:szCs w:val="22"/>
              </w:rPr>
              <w:t xml:space="preserve"> 112</w:t>
            </w:r>
          </w:p>
        </w:tc>
        <w:tc>
          <w:tcPr>
            <w:tcW w:w="913" w:type="pct"/>
            <w:shd w:val="clear" w:color="auto" w:fill="auto"/>
            <w:vAlign w:val="center"/>
          </w:tcPr>
          <w:p w14:paraId="41B915B6" w14:textId="77777777" w:rsidR="00C47465" w:rsidRPr="0096553B" w:rsidRDefault="00FE12E2" w:rsidP="00702D5F">
            <w:pPr>
              <w:rPr>
                <w:rFonts w:asciiTheme="minorHAnsi" w:hAnsiTheme="minorHAnsi" w:cstheme="minorHAnsi"/>
                <w:b/>
                <w:bCs/>
                <w:color w:val="FF0000"/>
                <w:sz w:val="22"/>
                <w:szCs w:val="22"/>
              </w:rPr>
            </w:pPr>
            <w:r w:rsidRPr="0096553B">
              <w:rPr>
                <w:rFonts w:asciiTheme="minorHAnsi" w:hAnsiTheme="minorHAnsi" w:cstheme="minorHAnsi"/>
                <w:b/>
                <w:bCs/>
                <w:sz w:val="22"/>
                <w:szCs w:val="22"/>
              </w:rPr>
              <w:t>“</w:t>
            </w:r>
            <w:r w:rsidRPr="0096553B">
              <w:rPr>
                <w:rFonts w:asciiTheme="minorHAnsi" w:hAnsiTheme="minorHAnsi" w:cstheme="minorHAnsi"/>
                <w:sz w:val="22"/>
                <w:szCs w:val="22"/>
              </w:rPr>
              <w:t xml:space="preserve">Plans for transition coordination and services for Members </w:t>
            </w:r>
            <w:r w:rsidRPr="0096553B">
              <w:rPr>
                <w:rFonts w:asciiTheme="minorHAnsi" w:hAnsiTheme="minorHAnsi" w:cstheme="minorHAnsi"/>
                <w:color w:val="FF0000"/>
                <w:sz w:val="22"/>
                <w:szCs w:val="22"/>
                <w:u w:val="single"/>
              </w:rPr>
              <w:t>who wish to move to a less restrictive setting, including members</w:t>
            </w:r>
            <w:r w:rsidRPr="0096553B">
              <w:rPr>
                <w:rFonts w:asciiTheme="minorHAnsi" w:hAnsiTheme="minorHAnsi" w:cstheme="minorHAnsi"/>
                <w:sz w:val="22"/>
                <w:szCs w:val="22"/>
              </w:rPr>
              <w:t xml:space="preserve"> in nursing facilities who wish to move to the community.”</w:t>
            </w:r>
          </w:p>
        </w:tc>
        <w:tc>
          <w:tcPr>
            <w:tcW w:w="2096" w:type="pct"/>
            <w:shd w:val="clear" w:color="auto" w:fill="auto"/>
            <w:vAlign w:val="center"/>
          </w:tcPr>
          <w:p w14:paraId="7482AC20" w14:textId="77777777" w:rsidR="00C47465" w:rsidRPr="0096553B" w:rsidRDefault="00FE12E2" w:rsidP="00702D5F">
            <w:pPr>
              <w:rPr>
                <w:rFonts w:asciiTheme="minorHAnsi" w:hAnsiTheme="minorHAnsi" w:cstheme="minorHAnsi"/>
                <w:sz w:val="22"/>
                <w:szCs w:val="22"/>
              </w:rPr>
            </w:pPr>
            <w:r w:rsidRPr="0096553B">
              <w:rPr>
                <w:rFonts w:asciiTheme="minorHAnsi" w:hAnsiTheme="minorHAnsi" w:cstheme="minorHAnsi"/>
                <w:sz w:val="22"/>
                <w:szCs w:val="22"/>
              </w:rPr>
              <w:t xml:space="preserve">This provision </w:t>
            </w:r>
            <w:r w:rsidR="006916C1" w:rsidRPr="0096553B">
              <w:rPr>
                <w:rFonts w:asciiTheme="minorHAnsi" w:hAnsiTheme="minorHAnsi" w:cstheme="minorHAnsi"/>
                <w:sz w:val="22"/>
                <w:szCs w:val="22"/>
              </w:rPr>
              <w:t>should be strengthened</w:t>
            </w:r>
            <w:r w:rsidRPr="0096553B">
              <w:rPr>
                <w:rFonts w:asciiTheme="minorHAnsi" w:hAnsiTheme="minorHAnsi" w:cstheme="minorHAnsi"/>
                <w:sz w:val="22"/>
                <w:szCs w:val="22"/>
              </w:rPr>
              <w:t xml:space="preserve"> by broadening the item to ensure that members in settings other than nursing facilities are also served in the least restrictive setting, if they desire.</w:t>
            </w:r>
          </w:p>
        </w:tc>
        <w:tc>
          <w:tcPr>
            <w:tcW w:w="1559" w:type="pct"/>
            <w:shd w:val="clear" w:color="auto" w:fill="D9D9D9" w:themeFill="background1" w:themeFillShade="D9"/>
          </w:tcPr>
          <w:p w14:paraId="54122CA1" w14:textId="77777777" w:rsidR="00C47465" w:rsidRPr="0096553B" w:rsidRDefault="00C47465" w:rsidP="00702D5F">
            <w:pPr>
              <w:rPr>
                <w:rFonts w:asciiTheme="minorHAnsi" w:hAnsiTheme="minorHAnsi" w:cs="Arial"/>
                <w:color w:val="FF0000"/>
                <w:sz w:val="22"/>
                <w:szCs w:val="22"/>
              </w:rPr>
            </w:pPr>
          </w:p>
        </w:tc>
      </w:tr>
      <w:tr w:rsidR="00C47465" w:rsidRPr="0096553B" w14:paraId="76AFD3F4" w14:textId="77777777" w:rsidTr="00F23332">
        <w:trPr>
          <w:trHeight w:val="1353"/>
          <w:jc w:val="center"/>
        </w:trPr>
        <w:tc>
          <w:tcPr>
            <w:tcW w:w="432" w:type="pct"/>
            <w:shd w:val="clear" w:color="auto" w:fill="auto"/>
            <w:vAlign w:val="center"/>
          </w:tcPr>
          <w:p w14:paraId="348A5004" w14:textId="77777777" w:rsidR="00C47465" w:rsidRPr="0096553B" w:rsidRDefault="00A47C43" w:rsidP="00702D5F">
            <w:pPr>
              <w:rPr>
                <w:rFonts w:asciiTheme="minorHAnsi" w:hAnsiTheme="minorHAnsi"/>
                <w:color w:val="000000"/>
                <w:sz w:val="22"/>
                <w:szCs w:val="22"/>
              </w:rPr>
            </w:pPr>
            <w:r w:rsidRPr="0096553B">
              <w:rPr>
                <w:rFonts w:asciiTheme="minorHAnsi" w:hAnsiTheme="minorHAnsi"/>
                <w:color w:val="000000"/>
                <w:sz w:val="22"/>
                <w:szCs w:val="22"/>
              </w:rPr>
              <w:t xml:space="preserve">5.3.2, </w:t>
            </w:r>
            <w:proofErr w:type="spellStart"/>
            <w:r w:rsidRPr="0096553B">
              <w:rPr>
                <w:rFonts w:asciiTheme="minorHAnsi" w:hAnsiTheme="minorHAnsi"/>
                <w:color w:val="000000"/>
                <w:sz w:val="22"/>
                <w:szCs w:val="22"/>
              </w:rPr>
              <w:t>pg</w:t>
            </w:r>
            <w:proofErr w:type="spellEnd"/>
            <w:r w:rsidRPr="0096553B">
              <w:rPr>
                <w:rFonts w:asciiTheme="minorHAnsi" w:hAnsiTheme="minorHAnsi"/>
                <w:color w:val="000000"/>
                <w:sz w:val="22"/>
                <w:szCs w:val="22"/>
              </w:rPr>
              <w:t xml:space="preserve"> 112</w:t>
            </w:r>
          </w:p>
        </w:tc>
        <w:tc>
          <w:tcPr>
            <w:tcW w:w="913" w:type="pct"/>
            <w:shd w:val="clear" w:color="auto" w:fill="auto"/>
            <w:vAlign w:val="center"/>
          </w:tcPr>
          <w:p w14:paraId="392C8923" w14:textId="5208292B" w:rsidR="00C47465" w:rsidRPr="0096553B" w:rsidRDefault="00C12AFA" w:rsidP="00665312">
            <w:pPr>
              <w:pStyle w:val="Default"/>
              <w:rPr>
                <w:rFonts w:asciiTheme="minorHAnsi" w:hAnsiTheme="minorHAnsi" w:cstheme="minorHAnsi"/>
                <w:sz w:val="22"/>
                <w:szCs w:val="22"/>
              </w:rPr>
            </w:pPr>
            <w:r w:rsidRPr="0096553B">
              <w:rPr>
                <w:rFonts w:asciiTheme="minorHAnsi" w:hAnsiTheme="minorHAnsi" w:cstheme="minorHAnsi"/>
                <w:sz w:val="22"/>
                <w:szCs w:val="22"/>
              </w:rPr>
              <w:t>“</w:t>
            </w:r>
            <w:r w:rsidR="00A47C43" w:rsidRPr="0096553B">
              <w:rPr>
                <w:rFonts w:asciiTheme="minorHAnsi" w:hAnsiTheme="minorHAnsi" w:cstheme="minorHAnsi"/>
                <w:sz w:val="22"/>
                <w:szCs w:val="22"/>
              </w:rPr>
              <w:t xml:space="preserve">Member’s choice of services (including model of service delivery for personal care and respite –consumer-directed vs. agency-directed </w:t>
            </w:r>
            <w:r w:rsidR="00A47C43" w:rsidRPr="00665312">
              <w:rPr>
                <w:rFonts w:asciiTheme="minorHAnsi" w:hAnsiTheme="minorHAnsi" w:cstheme="minorHAnsi"/>
                <w:strike/>
                <w:color w:val="FF0000"/>
                <w:sz w:val="22"/>
                <w:szCs w:val="22"/>
              </w:rPr>
              <w:t>when</w:t>
            </w:r>
            <w:r w:rsidR="00A47C43" w:rsidRPr="0096553B">
              <w:rPr>
                <w:rFonts w:asciiTheme="minorHAnsi" w:hAnsiTheme="minorHAnsi" w:cstheme="minorHAnsi"/>
                <w:sz w:val="22"/>
                <w:szCs w:val="22"/>
              </w:rPr>
              <w:t xml:space="preserve"> </w:t>
            </w:r>
            <w:r w:rsidR="00A47C43" w:rsidRPr="0096553B">
              <w:rPr>
                <w:rFonts w:asciiTheme="minorHAnsi" w:hAnsiTheme="minorHAnsi" w:cstheme="minorHAnsi"/>
                <w:strike/>
                <w:color w:val="FF0000"/>
                <w:sz w:val="22"/>
                <w:szCs w:val="22"/>
              </w:rPr>
              <w:t>appropriate</w:t>
            </w:r>
            <w:r w:rsidR="00A47C43" w:rsidRPr="0096553B">
              <w:rPr>
                <w:rFonts w:asciiTheme="minorHAnsi" w:hAnsiTheme="minorHAnsi" w:cstheme="minorHAnsi"/>
                <w:sz w:val="22"/>
                <w:szCs w:val="22"/>
              </w:rPr>
              <w:t xml:space="preserve"> for CCC Plus Waiver Members</w:t>
            </w:r>
            <w:r w:rsidR="00665312">
              <w:rPr>
                <w:rFonts w:asciiTheme="minorHAnsi" w:hAnsiTheme="minorHAnsi" w:cstheme="minorHAnsi"/>
                <w:sz w:val="22"/>
                <w:szCs w:val="22"/>
              </w:rPr>
              <w:t xml:space="preserve"> </w:t>
            </w:r>
            <w:r w:rsidR="00665312" w:rsidRPr="007E2C53">
              <w:rPr>
                <w:rFonts w:asciiTheme="minorHAnsi" w:hAnsiTheme="minorHAnsi" w:cstheme="minorHAnsi"/>
                <w:color w:val="FF0000"/>
                <w:sz w:val="22"/>
                <w:szCs w:val="22"/>
                <w:u w:val="single"/>
              </w:rPr>
              <w:t>who are eligible</w:t>
            </w:r>
            <w:r w:rsidR="00665312" w:rsidRPr="007E2C53">
              <w:rPr>
                <w:rFonts w:asciiTheme="minorHAnsi" w:hAnsiTheme="minorHAnsi" w:cstheme="minorHAnsi"/>
                <w:color w:val="FF0000"/>
                <w:sz w:val="22"/>
                <w:szCs w:val="22"/>
              </w:rPr>
              <w:t xml:space="preserve"> </w:t>
            </w:r>
            <w:r w:rsidR="00665312" w:rsidRPr="00331AFF">
              <w:rPr>
                <w:rFonts w:asciiTheme="minorHAnsi" w:hAnsiTheme="minorHAnsi" w:cstheme="minorHAnsi"/>
                <w:color w:val="FF0000"/>
                <w:sz w:val="22"/>
                <w:szCs w:val="22"/>
                <w:u w:val="single"/>
              </w:rPr>
              <w:t>per 12VAC30-120-924.B</w:t>
            </w:r>
            <w:r w:rsidR="00A47C43" w:rsidRPr="0096553B">
              <w:rPr>
                <w:rFonts w:asciiTheme="minorHAnsi" w:hAnsiTheme="minorHAnsi" w:cstheme="minorHAnsi"/>
                <w:sz w:val="22"/>
                <w:szCs w:val="22"/>
              </w:rPr>
              <w:t>)</w:t>
            </w:r>
            <w:r w:rsidRPr="0096553B">
              <w:rPr>
                <w:rFonts w:asciiTheme="minorHAnsi" w:hAnsiTheme="minorHAnsi" w:cstheme="minorHAnsi"/>
                <w:sz w:val="22"/>
                <w:szCs w:val="22"/>
              </w:rPr>
              <w:t>.”</w:t>
            </w:r>
          </w:p>
        </w:tc>
        <w:tc>
          <w:tcPr>
            <w:tcW w:w="2096" w:type="pct"/>
            <w:shd w:val="clear" w:color="auto" w:fill="auto"/>
            <w:vAlign w:val="center"/>
          </w:tcPr>
          <w:p w14:paraId="7C95DBD4" w14:textId="4D29E8E6" w:rsidR="00C47465" w:rsidRPr="0096553B" w:rsidRDefault="00A47C43" w:rsidP="00C43219">
            <w:pPr>
              <w:rPr>
                <w:rFonts w:asciiTheme="minorHAnsi" w:hAnsiTheme="minorHAnsi"/>
                <w:color w:val="000000"/>
                <w:sz w:val="22"/>
                <w:szCs w:val="22"/>
              </w:rPr>
            </w:pPr>
            <w:r w:rsidRPr="0096553B">
              <w:rPr>
                <w:rFonts w:asciiTheme="minorHAnsi" w:hAnsiTheme="minorHAnsi"/>
                <w:color w:val="000000"/>
                <w:sz w:val="22"/>
                <w:szCs w:val="22"/>
              </w:rPr>
              <w:t xml:space="preserve">This provision </w:t>
            </w:r>
            <w:r w:rsidR="006916C1" w:rsidRPr="0096553B">
              <w:rPr>
                <w:rFonts w:asciiTheme="minorHAnsi" w:hAnsiTheme="minorHAnsi"/>
                <w:color w:val="000000"/>
                <w:sz w:val="22"/>
                <w:szCs w:val="22"/>
              </w:rPr>
              <w:t>should be strengthened</w:t>
            </w:r>
            <w:r w:rsidRPr="0096553B">
              <w:rPr>
                <w:rFonts w:asciiTheme="minorHAnsi" w:hAnsiTheme="minorHAnsi"/>
                <w:color w:val="000000"/>
                <w:sz w:val="22"/>
                <w:szCs w:val="22"/>
              </w:rPr>
              <w:t xml:space="preserve"> by </w:t>
            </w:r>
            <w:r w:rsidR="00700A65" w:rsidRPr="0096553B">
              <w:rPr>
                <w:rFonts w:asciiTheme="minorHAnsi" w:hAnsiTheme="minorHAnsi"/>
                <w:color w:val="000000"/>
                <w:sz w:val="22"/>
                <w:szCs w:val="22"/>
              </w:rPr>
              <w:t>re</w:t>
            </w:r>
            <w:r w:rsidR="00C43219">
              <w:rPr>
                <w:rFonts w:asciiTheme="minorHAnsi" w:hAnsiTheme="minorHAnsi"/>
                <w:color w:val="000000"/>
                <w:sz w:val="22"/>
                <w:szCs w:val="22"/>
              </w:rPr>
              <w:t>moving the phrase,</w:t>
            </w:r>
            <w:r w:rsidR="00700A65" w:rsidRPr="0096553B">
              <w:rPr>
                <w:rFonts w:asciiTheme="minorHAnsi" w:hAnsiTheme="minorHAnsi"/>
                <w:color w:val="000000"/>
                <w:sz w:val="22"/>
                <w:szCs w:val="22"/>
              </w:rPr>
              <w:t xml:space="preserve"> “</w:t>
            </w:r>
            <w:r w:rsidR="00C43219">
              <w:rPr>
                <w:rFonts w:asciiTheme="minorHAnsi" w:hAnsiTheme="minorHAnsi"/>
                <w:color w:val="000000"/>
                <w:sz w:val="22"/>
                <w:szCs w:val="22"/>
              </w:rPr>
              <w:t xml:space="preserve">when </w:t>
            </w:r>
            <w:r w:rsidR="00700A65" w:rsidRPr="0096553B">
              <w:rPr>
                <w:rFonts w:asciiTheme="minorHAnsi" w:hAnsiTheme="minorHAnsi"/>
                <w:color w:val="000000"/>
                <w:sz w:val="22"/>
                <w:szCs w:val="22"/>
              </w:rPr>
              <w:t xml:space="preserve">appropriate,” which </w:t>
            </w:r>
            <w:r w:rsidR="00C43219">
              <w:rPr>
                <w:rFonts w:asciiTheme="minorHAnsi" w:hAnsiTheme="minorHAnsi"/>
                <w:color w:val="000000"/>
                <w:sz w:val="22"/>
                <w:szCs w:val="22"/>
              </w:rPr>
              <w:t>is vague</w:t>
            </w:r>
            <w:r w:rsidR="003A0266">
              <w:rPr>
                <w:rFonts w:asciiTheme="minorHAnsi" w:hAnsiTheme="minorHAnsi"/>
                <w:color w:val="000000"/>
                <w:sz w:val="22"/>
                <w:szCs w:val="22"/>
              </w:rPr>
              <w:t xml:space="preserve"> and could be interpreted differently than intended</w:t>
            </w:r>
            <w:r w:rsidR="0046043A" w:rsidRPr="0096553B">
              <w:rPr>
                <w:rFonts w:asciiTheme="minorHAnsi" w:hAnsiTheme="minorHAnsi"/>
                <w:color w:val="000000"/>
                <w:sz w:val="22"/>
                <w:szCs w:val="22"/>
              </w:rPr>
              <w:t xml:space="preserve">, </w:t>
            </w:r>
            <w:r w:rsidR="00C43219">
              <w:rPr>
                <w:rFonts w:asciiTheme="minorHAnsi" w:hAnsiTheme="minorHAnsi"/>
                <w:color w:val="000000"/>
                <w:sz w:val="22"/>
                <w:szCs w:val="22"/>
              </w:rPr>
              <w:t>and adding a reference to the consumer direction eligibility requirements</w:t>
            </w:r>
            <w:r w:rsidR="0046043A" w:rsidRPr="0096553B">
              <w:rPr>
                <w:rFonts w:asciiTheme="minorHAnsi" w:hAnsiTheme="minorHAnsi"/>
                <w:color w:val="000000"/>
                <w:sz w:val="22"/>
                <w:szCs w:val="22"/>
              </w:rPr>
              <w:t>.</w:t>
            </w:r>
          </w:p>
        </w:tc>
        <w:tc>
          <w:tcPr>
            <w:tcW w:w="1559" w:type="pct"/>
            <w:shd w:val="clear" w:color="auto" w:fill="D9D9D9" w:themeFill="background1" w:themeFillShade="D9"/>
          </w:tcPr>
          <w:p w14:paraId="1C1F453C" w14:textId="77777777" w:rsidR="00C47465" w:rsidRPr="0096553B" w:rsidRDefault="00C47465" w:rsidP="00702D5F">
            <w:pPr>
              <w:rPr>
                <w:rFonts w:asciiTheme="minorHAnsi" w:hAnsiTheme="minorHAnsi" w:cs="Arial"/>
                <w:color w:val="FF0000"/>
                <w:sz w:val="22"/>
                <w:szCs w:val="22"/>
              </w:rPr>
            </w:pPr>
          </w:p>
        </w:tc>
      </w:tr>
      <w:tr w:rsidR="00C47465" w:rsidRPr="0096553B" w14:paraId="67308622" w14:textId="77777777" w:rsidTr="00F23332">
        <w:trPr>
          <w:trHeight w:val="1353"/>
          <w:jc w:val="center"/>
        </w:trPr>
        <w:tc>
          <w:tcPr>
            <w:tcW w:w="432" w:type="pct"/>
            <w:shd w:val="clear" w:color="auto" w:fill="auto"/>
            <w:vAlign w:val="center"/>
          </w:tcPr>
          <w:p w14:paraId="52632A94" w14:textId="77777777" w:rsidR="00C47465" w:rsidRPr="0096553B" w:rsidRDefault="00461520" w:rsidP="00702D5F">
            <w:pPr>
              <w:jc w:val="center"/>
              <w:rPr>
                <w:rFonts w:ascii="Calibri" w:hAnsi="Calibri"/>
                <w:color w:val="000000"/>
                <w:sz w:val="22"/>
                <w:szCs w:val="22"/>
              </w:rPr>
            </w:pPr>
            <w:r w:rsidRPr="0096553B">
              <w:rPr>
                <w:rFonts w:ascii="Calibri" w:hAnsi="Calibri"/>
                <w:color w:val="000000"/>
                <w:sz w:val="22"/>
                <w:szCs w:val="22"/>
              </w:rPr>
              <w:lastRenderedPageBreak/>
              <w:t xml:space="preserve">5.14.3,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130</w:t>
            </w:r>
          </w:p>
        </w:tc>
        <w:tc>
          <w:tcPr>
            <w:tcW w:w="913" w:type="pct"/>
            <w:shd w:val="clear" w:color="auto" w:fill="auto"/>
            <w:vAlign w:val="center"/>
          </w:tcPr>
          <w:p w14:paraId="4165622E" w14:textId="77777777" w:rsidR="00C47465" w:rsidRPr="0096553B" w:rsidRDefault="00461520" w:rsidP="00702D5F">
            <w:pPr>
              <w:pStyle w:val="Default"/>
              <w:rPr>
                <w:rFonts w:asciiTheme="minorHAnsi" w:hAnsiTheme="minorHAnsi" w:cstheme="minorHAnsi"/>
                <w:sz w:val="22"/>
                <w:szCs w:val="22"/>
              </w:rPr>
            </w:pPr>
            <w:r w:rsidRPr="0096553B">
              <w:rPr>
                <w:rFonts w:asciiTheme="minorHAnsi" w:hAnsiTheme="minorHAnsi" w:cstheme="minorHAnsi"/>
                <w:sz w:val="22"/>
                <w:szCs w:val="22"/>
              </w:rPr>
              <w:t xml:space="preserve">“In the event of a NF closure, or as necessary to protect the health and safety of residents, the Contractor shall arrange for the safe and orderly transfer of all Members and their personal effects to </w:t>
            </w:r>
            <w:r w:rsidR="009978EB" w:rsidRPr="0096553B">
              <w:rPr>
                <w:rFonts w:asciiTheme="minorHAnsi" w:hAnsiTheme="minorHAnsi" w:cstheme="minorHAnsi"/>
                <w:color w:val="FF0000"/>
                <w:sz w:val="22"/>
                <w:szCs w:val="22"/>
                <w:u w:val="single"/>
              </w:rPr>
              <w:t>the setting of their choice, which could include</w:t>
            </w:r>
            <w:r w:rsidR="009978EB" w:rsidRPr="0096553B">
              <w:rPr>
                <w:rFonts w:asciiTheme="minorHAnsi" w:hAnsiTheme="minorHAnsi" w:cstheme="minorHAnsi"/>
                <w:sz w:val="22"/>
                <w:szCs w:val="22"/>
              </w:rPr>
              <w:t xml:space="preserve"> another facility </w:t>
            </w:r>
            <w:r w:rsidR="009978EB" w:rsidRPr="0096553B">
              <w:rPr>
                <w:rFonts w:asciiTheme="minorHAnsi" w:hAnsiTheme="minorHAnsi" w:cstheme="minorHAnsi"/>
                <w:color w:val="FF0000"/>
                <w:sz w:val="22"/>
                <w:szCs w:val="22"/>
                <w:u w:val="single"/>
              </w:rPr>
              <w:t>or a home- and community-based setting</w:t>
            </w:r>
            <w:r w:rsidRPr="0096553B">
              <w:rPr>
                <w:rFonts w:asciiTheme="minorHAnsi" w:hAnsiTheme="minorHAnsi" w:cstheme="minorHAnsi"/>
                <w:sz w:val="22"/>
                <w:szCs w:val="22"/>
              </w:rPr>
              <w:t>.”</w:t>
            </w:r>
          </w:p>
        </w:tc>
        <w:tc>
          <w:tcPr>
            <w:tcW w:w="2096" w:type="pct"/>
            <w:shd w:val="clear" w:color="auto" w:fill="auto"/>
            <w:vAlign w:val="center"/>
          </w:tcPr>
          <w:p w14:paraId="6974668F" w14:textId="77777777" w:rsidR="00C47465" w:rsidRPr="0096553B" w:rsidRDefault="009978EB" w:rsidP="00702D5F">
            <w:pPr>
              <w:rPr>
                <w:rFonts w:asciiTheme="minorHAnsi" w:hAnsiTheme="minorHAnsi" w:cstheme="minorHAnsi"/>
                <w:color w:val="000000"/>
                <w:sz w:val="22"/>
                <w:szCs w:val="22"/>
              </w:rPr>
            </w:pPr>
            <w:r w:rsidRPr="0096553B">
              <w:rPr>
                <w:rFonts w:asciiTheme="minorHAnsi" w:hAnsiTheme="minorHAnsi" w:cstheme="minorHAnsi"/>
                <w:sz w:val="22"/>
                <w:szCs w:val="22"/>
              </w:rPr>
              <w:t xml:space="preserve">The need to move presents a good opportunity for the member to re-consider all of their options, </w:t>
            </w:r>
            <w:r w:rsidR="00F84A13" w:rsidRPr="0096553B">
              <w:rPr>
                <w:rFonts w:asciiTheme="minorHAnsi" w:hAnsiTheme="minorHAnsi" w:cstheme="minorHAnsi"/>
                <w:sz w:val="22"/>
                <w:szCs w:val="22"/>
              </w:rPr>
              <w:t>including home- and community-b</w:t>
            </w:r>
            <w:r w:rsidR="00D409FB" w:rsidRPr="0096553B">
              <w:rPr>
                <w:rFonts w:asciiTheme="minorHAnsi" w:hAnsiTheme="minorHAnsi" w:cstheme="minorHAnsi"/>
                <w:sz w:val="22"/>
                <w:szCs w:val="22"/>
              </w:rPr>
              <w:t xml:space="preserve">ased settings. Some </w:t>
            </w:r>
            <w:r w:rsidRPr="0096553B">
              <w:rPr>
                <w:rFonts w:asciiTheme="minorHAnsi" w:hAnsiTheme="minorHAnsi" w:cstheme="minorHAnsi"/>
                <w:sz w:val="22"/>
                <w:szCs w:val="22"/>
              </w:rPr>
              <w:t>member</w:t>
            </w:r>
            <w:r w:rsidR="00D409FB" w:rsidRPr="0096553B">
              <w:rPr>
                <w:rFonts w:asciiTheme="minorHAnsi" w:hAnsiTheme="minorHAnsi" w:cstheme="minorHAnsi"/>
                <w:sz w:val="22"/>
                <w:szCs w:val="22"/>
              </w:rPr>
              <w:t>s</w:t>
            </w:r>
            <w:r w:rsidRPr="0096553B">
              <w:rPr>
                <w:rFonts w:asciiTheme="minorHAnsi" w:hAnsiTheme="minorHAnsi" w:cstheme="minorHAnsi"/>
                <w:sz w:val="22"/>
                <w:szCs w:val="22"/>
              </w:rPr>
              <w:t xml:space="preserve"> may no longer prefer a nursing facility if they cannot remain in their previous facility.</w:t>
            </w:r>
          </w:p>
        </w:tc>
        <w:tc>
          <w:tcPr>
            <w:tcW w:w="1559" w:type="pct"/>
            <w:shd w:val="clear" w:color="auto" w:fill="D9D9D9" w:themeFill="background1" w:themeFillShade="D9"/>
          </w:tcPr>
          <w:p w14:paraId="318F72B6" w14:textId="77777777" w:rsidR="00C47465" w:rsidRPr="0096553B" w:rsidRDefault="00C47465" w:rsidP="00702D5F">
            <w:pPr>
              <w:rPr>
                <w:rFonts w:asciiTheme="minorHAnsi" w:hAnsiTheme="minorHAnsi" w:cs="Arial"/>
                <w:sz w:val="22"/>
                <w:szCs w:val="22"/>
              </w:rPr>
            </w:pPr>
          </w:p>
        </w:tc>
      </w:tr>
      <w:tr w:rsidR="00C47465" w:rsidRPr="0096553B" w14:paraId="122AF6A2" w14:textId="77777777" w:rsidTr="00F23332">
        <w:trPr>
          <w:trHeight w:val="1353"/>
          <w:jc w:val="center"/>
        </w:trPr>
        <w:tc>
          <w:tcPr>
            <w:tcW w:w="432" w:type="pct"/>
            <w:shd w:val="clear" w:color="auto" w:fill="auto"/>
            <w:vAlign w:val="center"/>
          </w:tcPr>
          <w:p w14:paraId="4B96B445" w14:textId="77777777" w:rsidR="00C47465" w:rsidRPr="0096553B" w:rsidRDefault="001634EC" w:rsidP="00702D5F">
            <w:pPr>
              <w:jc w:val="center"/>
              <w:rPr>
                <w:rFonts w:asciiTheme="minorHAnsi" w:hAnsiTheme="minorHAnsi"/>
                <w:color w:val="000000"/>
                <w:sz w:val="22"/>
                <w:szCs w:val="22"/>
              </w:rPr>
            </w:pPr>
            <w:r w:rsidRPr="0096553B">
              <w:rPr>
                <w:rFonts w:asciiTheme="minorHAnsi" w:hAnsiTheme="minorHAnsi"/>
                <w:color w:val="000000"/>
                <w:sz w:val="22"/>
                <w:szCs w:val="22"/>
              </w:rPr>
              <w:t xml:space="preserve">9.16, </w:t>
            </w:r>
            <w:proofErr w:type="spellStart"/>
            <w:r w:rsidRPr="0096553B">
              <w:rPr>
                <w:rFonts w:asciiTheme="minorHAnsi" w:hAnsiTheme="minorHAnsi"/>
                <w:color w:val="000000"/>
                <w:sz w:val="22"/>
                <w:szCs w:val="22"/>
              </w:rPr>
              <w:t>pg</w:t>
            </w:r>
            <w:proofErr w:type="spellEnd"/>
            <w:r w:rsidRPr="0096553B">
              <w:rPr>
                <w:rFonts w:asciiTheme="minorHAnsi" w:hAnsiTheme="minorHAnsi"/>
                <w:color w:val="000000"/>
                <w:sz w:val="22"/>
                <w:szCs w:val="22"/>
              </w:rPr>
              <w:t xml:space="preserve"> 17</w:t>
            </w:r>
            <w:r w:rsidR="00733B31" w:rsidRPr="0096553B">
              <w:rPr>
                <w:rFonts w:asciiTheme="minorHAnsi" w:hAnsiTheme="minorHAnsi"/>
                <w:color w:val="000000"/>
                <w:sz w:val="22"/>
                <w:szCs w:val="22"/>
              </w:rPr>
              <w:t>4</w:t>
            </w:r>
          </w:p>
        </w:tc>
        <w:tc>
          <w:tcPr>
            <w:tcW w:w="913" w:type="pct"/>
            <w:shd w:val="clear" w:color="auto" w:fill="auto"/>
            <w:vAlign w:val="center"/>
          </w:tcPr>
          <w:p w14:paraId="6F8EA6D0" w14:textId="77777777" w:rsidR="00C47465" w:rsidRPr="0096553B" w:rsidRDefault="001634EC" w:rsidP="00702D5F">
            <w:pPr>
              <w:pStyle w:val="Default"/>
              <w:rPr>
                <w:rFonts w:asciiTheme="minorHAnsi" w:hAnsiTheme="minorHAnsi" w:cstheme="minorHAnsi"/>
                <w:sz w:val="22"/>
                <w:szCs w:val="22"/>
              </w:rPr>
            </w:pPr>
            <w:r w:rsidRPr="0096553B">
              <w:rPr>
                <w:rFonts w:asciiTheme="minorHAnsi" w:hAnsiTheme="minorHAnsi" w:cstheme="minorHAnsi"/>
                <w:sz w:val="22"/>
                <w:szCs w:val="22"/>
              </w:rPr>
              <w:t>“</w:t>
            </w:r>
            <w:r w:rsidR="00733B31" w:rsidRPr="0096553B">
              <w:rPr>
                <w:rFonts w:asciiTheme="minorHAnsi" w:hAnsiTheme="minorHAnsi" w:cstheme="minorHAnsi"/>
                <w:sz w:val="22"/>
                <w:szCs w:val="22"/>
              </w:rPr>
              <w:t>Demonstrating compliance with the ADA by conducting an independent survey or site review of facilities for both physical, communication and programmatic accessibility, documenting any deficiencies in compliance and monitoring correction of deficiencies.</w:t>
            </w:r>
            <w:r w:rsidR="00DD2CFD" w:rsidRPr="0096553B">
              <w:rPr>
                <w:rFonts w:asciiTheme="minorHAnsi" w:hAnsiTheme="minorHAnsi" w:cstheme="minorHAnsi"/>
                <w:color w:val="FF0000"/>
                <w:sz w:val="22"/>
                <w:szCs w:val="22"/>
                <w:u w:val="single"/>
              </w:rPr>
              <w:t xml:space="preserve"> Contractors should use the standardized </w:t>
            </w:r>
            <w:r w:rsidR="00DD2CFD" w:rsidRPr="0096553B">
              <w:rPr>
                <w:rFonts w:asciiTheme="minorHAnsi" w:hAnsiTheme="minorHAnsi" w:cstheme="minorHAnsi"/>
                <w:color w:val="FF0000"/>
                <w:sz w:val="22"/>
                <w:szCs w:val="22"/>
                <w:u w:val="single"/>
              </w:rPr>
              <w:lastRenderedPageBreak/>
              <w:t>form in the technical manual to conduct its assessments, and submit summary data to the Department as detailed in the technical manual.</w:t>
            </w:r>
            <w:r w:rsidR="00733B31" w:rsidRPr="0096553B">
              <w:rPr>
                <w:rFonts w:asciiTheme="minorHAnsi" w:hAnsiTheme="minorHAnsi" w:cstheme="minorHAnsi"/>
                <w:sz w:val="22"/>
                <w:szCs w:val="22"/>
              </w:rPr>
              <w:t>”</w:t>
            </w:r>
          </w:p>
        </w:tc>
        <w:tc>
          <w:tcPr>
            <w:tcW w:w="2096" w:type="pct"/>
            <w:shd w:val="clear" w:color="auto" w:fill="auto"/>
            <w:vAlign w:val="center"/>
          </w:tcPr>
          <w:p w14:paraId="520AEF13" w14:textId="40794670" w:rsidR="006D1DA8" w:rsidRPr="0096553B" w:rsidRDefault="000A0F38" w:rsidP="00702D5F">
            <w:pPr>
              <w:pStyle w:val="ListParagraph"/>
              <w:spacing w:after="0" w:line="240" w:lineRule="auto"/>
              <w:ind w:left="0"/>
              <w:rPr>
                <w:rFonts w:cstheme="minorHAnsi"/>
              </w:rPr>
            </w:pPr>
            <w:r w:rsidRPr="0096553B">
              <w:rPr>
                <w:rFonts w:cstheme="minorHAnsi"/>
              </w:rPr>
              <w:lastRenderedPageBreak/>
              <w:t>The research literature has consistently found that</w:t>
            </w:r>
            <w:r w:rsidR="005848BA" w:rsidRPr="0096553B">
              <w:rPr>
                <w:rFonts w:cstheme="minorHAnsi"/>
              </w:rPr>
              <w:t xml:space="preserve"> </w:t>
            </w:r>
            <w:r w:rsidR="00824577" w:rsidRPr="0096553B">
              <w:rPr>
                <w:rFonts w:cstheme="minorHAnsi"/>
              </w:rPr>
              <w:t>inaccessible</w:t>
            </w:r>
            <w:r w:rsidR="005848BA" w:rsidRPr="0096553B">
              <w:rPr>
                <w:rFonts w:cstheme="minorHAnsi"/>
              </w:rPr>
              <w:t xml:space="preserve"> health care</w:t>
            </w:r>
            <w:r w:rsidR="00824577" w:rsidRPr="0096553B">
              <w:rPr>
                <w:rFonts w:cstheme="minorHAnsi"/>
              </w:rPr>
              <w:t xml:space="preserve"> </w:t>
            </w:r>
            <w:r w:rsidRPr="0096553B">
              <w:rPr>
                <w:rFonts w:cstheme="minorHAnsi"/>
              </w:rPr>
              <w:t>is a major barrier to people with disabilities receiving high-quality care.</w:t>
            </w:r>
            <w:r w:rsidR="003C19EC" w:rsidRPr="0096553B">
              <w:rPr>
                <w:rFonts w:cstheme="minorHAnsi"/>
              </w:rPr>
              <w:t xml:space="preserve"> </w:t>
            </w:r>
            <w:r w:rsidR="00493DEF" w:rsidRPr="0096553B">
              <w:rPr>
                <w:rFonts w:cstheme="minorHAnsi"/>
              </w:rPr>
              <w:t>I</w:t>
            </w:r>
            <w:r w:rsidR="001D6E86" w:rsidRPr="0096553B">
              <w:rPr>
                <w:rFonts w:cstheme="minorHAnsi"/>
              </w:rPr>
              <w:t xml:space="preserve">nformation on the accessibility of the CCC Plus provider networks is currently limited, and </w:t>
            </w:r>
            <w:r w:rsidR="00533DE5" w:rsidRPr="0096553B">
              <w:rPr>
                <w:rFonts w:cstheme="minorHAnsi"/>
              </w:rPr>
              <w:t>the information that is available</w:t>
            </w:r>
            <w:r w:rsidR="001D6E86" w:rsidRPr="0096553B">
              <w:rPr>
                <w:rFonts w:cstheme="minorHAnsi"/>
              </w:rPr>
              <w:t xml:space="preserve"> indicates that there are few accessible </w:t>
            </w:r>
            <w:r w:rsidR="006D1DA8" w:rsidRPr="0096553B">
              <w:rPr>
                <w:rFonts w:cstheme="minorHAnsi"/>
              </w:rPr>
              <w:t>providers:</w:t>
            </w:r>
          </w:p>
          <w:p w14:paraId="4EA25B0B" w14:textId="69EA0B23" w:rsidR="00394F80" w:rsidRPr="0096553B" w:rsidRDefault="00232E21" w:rsidP="00702D5F">
            <w:pPr>
              <w:pStyle w:val="ListParagraph"/>
              <w:numPr>
                <w:ilvl w:val="0"/>
                <w:numId w:val="33"/>
              </w:numPr>
              <w:spacing w:after="0" w:line="240" w:lineRule="auto"/>
              <w:rPr>
                <w:rFonts w:cstheme="minorHAnsi"/>
              </w:rPr>
            </w:pPr>
            <w:r w:rsidRPr="0096553B">
              <w:rPr>
                <w:rFonts w:cstheme="minorHAnsi"/>
              </w:rPr>
              <w:t>T</w:t>
            </w:r>
            <w:r w:rsidR="00394F80" w:rsidRPr="0096553B">
              <w:rPr>
                <w:rFonts w:cstheme="minorHAnsi"/>
              </w:rPr>
              <w:t>he CCC Plus Network Submission Requirements Manual on DMAS’ website</w:t>
            </w:r>
            <w:r w:rsidR="006D1DA8" w:rsidRPr="0096553B">
              <w:rPr>
                <w:rFonts w:cstheme="minorHAnsi"/>
              </w:rPr>
              <w:t>, and 3 of 6 provider directories as of August 2018,</w:t>
            </w:r>
            <w:r w:rsidR="00394F80" w:rsidRPr="0096553B">
              <w:rPr>
                <w:rFonts w:cstheme="minorHAnsi"/>
              </w:rPr>
              <w:t xml:space="preserve"> only </w:t>
            </w:r>
            <w:r w:rsidR="006D1DA8" w:rsidRPr="0096553B">
              <w:rPr>
                <w:rFonts w:cstheme="minorHAnsi"/>
              </w:rPr>
              <w:t>indicate</w:t>
            </w:r>
            <w:r w:rsidR="00394F80" w:rsidRPr="0096553B">
              <w:rPr>
                <w:rFonts w:cstheme="minorHAnsi"/>
              </w:rPr>
              <w:t xml:space="preserve"> a yes/no response to whether a provider is ADA compliant</w:t>
            </w:r>
            <w:r w:rsidR="006D1DA8" w:rsidRPr="0096553B">
              <w:rPr>
                <w:rFonts w:cstheme="minorHAnsi"/>
              </w:rPr>
              <w:t xml:space="preserve"> overall</w:t>
            </w:r>
            <w:r w:rsidR="00394F80" w:rsidRPr="0096553B">
              <w:rPr>
                <w:rFonts w:cstheme="minorHAnsi"/>
              </w:rPr>
              <w:t xml:space="preserve">. However, ADA compliance has many different facets such as a physically accessible building/waiting room/exam room/bathrooms/equipment and the provision of </w:t>
            </w:r>
            <w:r w:rsidR="00394F80" w:rsidRPr="0096553B">
              <w:rPr>
                <w:rFonts w:cstheme="minorHAnsi"/>
              </w:rPr>
              <w:lastRenderedPageBreak/>
              <w:t>reasonable accommodations such as shorter waiting times. A provider may meet one or more of these facets, but not necessarily all of them.</w:t>
            </w:r>
          </w:p>
          <w:p w14:paraId="67470A60" w14:textId="30878E28" w:rsidR="006D1DA8" w:rsidRPr="0096553B" w:rsidRDefault="00182212" w:rsidP="00702D5F">
            <w:pPr>
              <w:pStyle w:val="ListParagraph"/>
              <w:numPr>
                <w:ilvl w:val="0"/>
                <w:numId w:val="33"/>
              </w:numPr>
              <w:spacing w:after="0" w:line="240" w:lineRule="auto"/>
              <w:rPr>
                <w:rFonts w:cstheme="minorHAnsi"/>
              </w:rPr>
            </w:pPr>
            <w:r w:rsidRPr="0096553B">
              <w:rPr>
                <w:rFonts w:cstheme="minorHAnsi"/>
              </w:rPr>
              <w:t xml:space="preserve">One Contractor’s provider directory identified only two providers who </w:t>
            </w:r>
            <w:r w:rsidR="00153068" w:rsidRPr="0096553B">
              <w:rPr>
                <w:rFonts w:cstheme="minorHAnsi"/>
              </w:rPr>
              <w:t>voluntarily reported having</w:t>
            </w:r>
            <w:r w:rsidRPr="0096553B">
              <w:rPr>
                <w:rFonts w:cstheme="minorHAnsi"/>
              </w:rPr>
              <w:t xml:space="preserve"> cultural competency training</w:t>
            </w:r>
            <w:r w:rsidR="00A75101" w:rsidRPr="0096553B">
              <w:rPr>
                <w:rFonts w:cstheme="minorHAnsi"/>
              </w:rPr>
              <w:t>, and random provider searches of</w:t>
            </w:r>
            <w:r w:rsidR="00066C3D" w:rsidRPr="0096553B">
              <w:rPr>
                <w:rFonts w:cstheme="minorHAnsi"/>
              </w:rPr>
              <w:t xml:space="preserve"> two other directories failed to find any providers who </w:t>
            </w:r>
            <w:r w:rsidR="003A4177" w:rsidRPr="0096553B">
              <w:rPr>
                <w:rFonts w:cstheme="minorHAnsi"/>
              </w:rPr>
              <w:t xml:space="preserve">voluntarily </w:t>
            </w:r>
            <w:r w:rsidR="00066C3D" w:rsidRPr="0096553B">
              <w:rPr>
                <w:rFonts w:cstheme="minorHAnsi"/>
              </w:rPr>
              <w:t>reported having cultural competency training</w:t>
            </w:r>
            <w:r w:rsidRPr="0096553B">
              <w:rPr>
                <w:rFonts w:cstheme="minorHAnsi"/>
              </w:rPr>
              <w:t>, as of August 2018</w:t>
            </w:r>
          </w:p>
          <w:p w14:paraId="3726988B" w14:textId="108C1C4C" w:rsidR="003A4177" w:rsidRPr="0096553B" w:rsidRDefault="003A4177" w:rsidP="00702D5F">
            <w:pPr>
              <w:pStyle w:val="ListParagraph"/>
              <w:numPr>
                <w:ilvl w:val="0"/>
                <w:numId w:val="33"/>
              </w:numPr>
              <w:spacing w:after="0" w:line="240" w:lineRule="auto"/>
              <w:rPr>
                <w:rFonts w:cstheme="minorHAnsi"/>
              </w:rPr>
            </w:pPr>
            <w:r w:rsidRPr="0096553B">
              <w:rPr>
                <w:rFonts w:cstheme="minorHAnsi"/>
              </w:rPr>
              <w:t>Random provider searches of two Contractors’ provider directories failed to find any providers who voluntarily reported being near a public transportation route, as of August 2018</w:t>
            </w:r>
          </w:p>
          <w:p w14:paraId="6A263CCA" w14:textId="511B6974" w:rsidR="007E7C86" w:rsidRPr="0096553B" w:rsidRDefault="007E7C86" w:rsidP="00702D5F">
            <w:pPr>
              <w:pStyle w:val="ListParagraph"/>
              <w:numPr>
                <w:ilvl w:val="0"/>
                <w:numId w:val="33"/>
              </w:numPr>
              <w:spacing w:after="0" w:line="240" w:lineRule="auto"/>
              <w:rPr>
                <w:rFonts w:cstheme="minorHAnsi"/>
              </w:rPr>
            </w:pPr>
            <w:r w:rsidRPr="0096553B">
              <w:rPr>
                <w:rFonts w:cstheme="minorHAnsi"/>
              </w:rPr>
              <w:t xml:space="preserve">Four Contractors’ provider directories identified very few providers who voluntarily reported having American </w:t>
            </w:r>
            <w:r w:rsidR="006A3B5C" w:rsidRPr="0096553B">
              <w:rPr>
                <w:rFonts w:cstheme="minorHAnsi"/>
              </w:rPr>
              <w:t>Sign Language</w:t>
            </w:r>
            <w:r w:rsidRPr="0096553B">
              <w:rPr>
                <w:rFonts w:cstheme="minorHAnsi"/>
              </w:rPr>
              <w:t xml:space="preserve"> access. One of these directories only identified 50 </w:t>
            </w:r>
            <w:r w:rsidR="00A74671" w:rsidRPr="0096553B">
              <w:rPr>
                <w:rFonts w:cstheme="minorHAnsi"/>
              </w:rPr>
              <w:t xml:space="preserve">providers </w:t>
            </w:r>
            <w:r w:rsidRPr="0096553B">
              <w:rPr>
                <w:rFonts w:cstheme="minorHAnsi"/>
              </w:rPr>
              <w:t>statewide, another identified 0 within 100 miles of Richmond, and two others identified fewer than 15 in the Central region.</w:t>
            </w:r>
          </w:p>
          <w:p w14:paraId="439CD223" w14:textId="766268E9" w:rsidR="00182212" w:rsidRPr="0096553B" w:rsidRDefault="00182212" w:rsidP="00702D5F">
            <w:pPr>
              <w:rPr>
                <w:rFonts w:asciiTheme="minorHAnsi" w:hAnsiTheme="minorHAnsi" w:cstheme="minorHAnsi"/>
                <w:sz w:val="22"/>
                <w:szCs w:val="22"/>
              </w:rPr>
            </w:pPr>
            <w:r w:rsidRPr="0096553B">
              <w:rPr>
                <w:rFonts w:asciiTheme="minorHAnsi" w:hAnsiTheme="minorHAnsi" w:cstheme="minorHAnsi"/>
                <w:sz w:val="22"/>
                <w:szCs w:val="22"/>
              </w:rPr>
              <w:t>This information raises concerns about whether Contractors are meeting contract section</w:t>
            </w:r>
            <w:r w:rsidR="00C10DDD" w:rsidRPr="0096553B">
              <w:rPr>
                <w:rFonts w:asciiTheme="minorHAnsi" w:hAnsiTheme="minorHAnsi" w:cstheme="minorHAnsi"/>
                <w:sz w:val="22"/>
                <w:szCs w:val="22"/>
              </w:rPr>
              <w:t>s</w:t>
            </w:r>
            <w:r w:rsidRPr="0096553B">
              <w:rPr>
                <w:rFonts w:asciiTheme="minorHAnsi" w:hAnsiTheme="minorHAnsi" w:cstheme="minorHAnsi"/>
                <w:sz w:val="22"/>
                <w:szCs w:val="22"/>
              </w:rPr>
              <w:t xml:space="preserve"> 8.4.2</w:t>
            </w:r>
            <w:r w:rsidR="00C10DDD" w:rsidRPr="0096553B">
              <w:rPr>
                <w:rFonts w:asciiTheme="minorHAnsi" w:hAnsiTheme="minorHAnsi" w:cstheme="minorHAnsi"/>
                <w:sz w:val="22"/>
                <w:szCs w:val="22"/>
              </w:rPr>
              <w:t xml:space="preserve"> and 9.16</w:t>
            </w:r>
            <w:r w:rsidRPr="0096553B">
              <w:rPr>
                <w:rFonts w:asciiTheme="minorHAnsi" w:hAnsiTheme="minorHAnsi" w:cstheme="minorHAnsi"/>
                <w:sz w:val="22"/>
                <w:szCs w:val="22"/>
              </w:rPr>
              <w:t>,</w:t>
            </w:r>
            <w:r w:rsidR="00C10DDD" w:rsidRPr="0096553B">
              <w:rPr>
                <w:rFonts w:asciiTheme="minorHAnsi" w:hAnsiTheme="minorHAnsi" w:cstheme="minorHAnsi"/>
                <w:sz w:val="22"/>
                <w:szCs w:val="22"/>
              </w:rPr>
              <w:t xml:space="preserve"> which require</w:t>
            </w:r>
            <w:r w:rsidRPr="0096553B">
              <w:rPr>
                <w:rFonts w:asciiTheme="minorHAnsi" w:hAnsiTheme="minorHAnsi" w:cstheme="minorHAnsi"/>
                <w:sz w:val="22"/>
                <w:szCs w:val="22"/>
              </w:rPr>
              <w:t xml:space="preserve"> the Contractor to assure accessibility to all services for people with disabilities, and raises concerns about whether the Department can verify whether Contractors are meeting </w:t>
            </w:r>
            <w:r w:rsidR="000051D1" w:rsidRPr="0096553B">
              <w:rPr>
                <w:rFonts w:asciiTheme="minorHAnsi" w:hAnsiTheme="minorHAnsi" w:cstheme="minorHAnsi"/>
                <w:sz w:val="22"/>
                <w:szCs w:val="22"/>
              </w:rPr>
              <w:t>those requirements</w:t>
            </w:r>
            <w:r w:rsidRPr="0096553B">
              <w:rPr>
                <w:rFonts w:asciiTheme="minorHAnsi" w:hAnsiTheme="minorHAnsi" w:cstheme="minorHAnsi"/>
                <w:sz w:val="22"/>
                <w:szCs w:val="22"/>
              </w:rPr>
              <w:t>.</w:t>
            </w:r>
          </w:p>
          <w:p w14:paraId="458B9AF9" w14:textId="77777777" w:rsidR="00394F80" w:rsidRPr="0096553B" w:rsidRDefault="00394F80" w:rsidP="00702D5F">
            <w:pPr>
              <w:pStyle w:val="ListParagraph"/>
              <w:spacing w:after="0" w:line="240" w:lineRule="auto"/>
              <w:ind w:left="0"/>
              <w:rPr>
                <w:rFonts w:cstheme="minorHAnsi"/>
              </w:rPr>
            </w:pPr>
          </w:p>
          <w:p w14:paraId="17C52477" w14:textId="23B99401" w:rsidR="00C47465" w:rsidRPr="0096553B" w:rsidRDefault="003C19EC" w:rsidP="00702D5F">
            <w:pPr>
              <w:pStyle w:val="ListParagraph"/>
              <w:spacing w:after="0" w:line="240" w:lineRule="auto"/>
              <w:ind w:left="0"/>
              <w:rPr>
                <w:rFonts w:cstheme="minorHAnsi"/>
              </w:rPr>
            </w:pPr>
            <w:r w:rsidRPr="0096553B">
              <w:rPr>
                <w:rFonts w:cstheme="minorHAnsi"/>
              </w:rPr>
              <w:lastRenderedPageBreak/>
              <w:t xml:space="preserve">In order to better ensure compliance with </w:t>
            </w:r>
            <w:r w:rsidR="00E2544C" w:rsidRPr="0096553B">
              <w:rPr>
                <w:rFonts w:cstheme="minorHAnsi"/>
              </w:rPr>
              <w:t>these</w:t>
            </w:r>
            <w:r w:rsidRPr="0096553B">
              <w:rPr>
                <w:rFonts w:cstheme="minorHAnsi"/>
              </w:rPr>
              <w:t xml:space="preserve"> provision</w:t>
            </w:r>
            <w:r w:rsidR="00E2544C" w:rsidRPr="0096553B">
              <w:rPr>
                <w:rFonts w:cstheme="minorHAnsi"/>
              </w:rPr>
              <w:t>s</w:t>
            </w:r>
            <w:r w:rsidRPr="0096553B">
              <w:rPr>
                <w:rFonts w:cstheme="minorHAnsi"/>
              </w:rPr>
              <w:t xml:space="preserve">, VBPD urges the Department to provide additional guidance on how the Contractor should </w:t>
            </w:r>
            <w:r w:rsidR="005F546C" w:rsidRPr="0096553B">
              <w:rPr>
                <w:rFonts w:cstheme="minorHAnsi"/>
              </w:rPr>
              <w:t>determine a provider’s ability to ensure</w:t>
            </w:r>
            <w:r w:rsidR="00485BB7" w:rsidRPr="0096553B">
              <w:rPr>
                <w:rFonts w:cstheme="minorHAnsi"/>
              </w:rPr>
              <w:t xml:space="preserve"> physical accessibility</w:t>
            </w:r>
            <w:r w:rsidR="00FE7EAD" w:rsidRPr="0096553B">
              <w:rPr>
                <w:rFonts w:cstheme="minorHAnsi"/>
              </w:rPr>
              <w:t>, communication accessibility, and programmatic accessibility</w:t>
            </w:r>
            <w:r w:rsidR="005F546C" w:rsidRPr="0096553B">
              <w:rPr>
                <w:rFonts w:cstheme="minorHAnsi"/>
              </w:rPr>
              <w:t xml:space="preserve">. </w:t>
            </w:r>
            <w:r w:rsidR="00643F6E" w:rsidRPr="0096553B">
              <w:rPr>
                <w:rFonts w:cstheme="minorHAnsi"/>
              </w:rPr>
              <w:t>For example, the</w:t>
            </w:r>
            <w:r w:rsidR="005F546C" w:rsidRPr="0096553B">
              <w:rPr>
                <w:rFonts w:cstheme="minorHAnsi"/>
              </w:rPr>
              <w:t xml:space="preserve"> Department </w:t>
            </w:r>
            <w:r w:rsidR="00643F6E" w:rsidRPr="0096553B">
              <w:rPr>
                <w:rFonts w:cstheme="minorHAnsi"/>
              </w:rPr>
              <w:t>could require</w:t>
            </w:r>
            <w:r w:rsidR="005F546C" w:rsidRPr="0096553B">
              <w:rPr>
                <w:rFonts w:cstheme="minorHAnsi"/>
              </w:rPr>
              <w:t xml:space="preserve"> Contractors to conduct site reviews and </w:t>
            </w:r>
            <w:r w:rsidR="003405DF" w:rsidRPr="0096553B">
              <w:rPr>
                <w:rFonts w:cstheme="minorHAnsi"/>
              </w:rPr>
              <w:t xml:space="preserve">require them to </w:t>
            </w:r>
            <w:r w:rsidR="005F546C" w:rsidRPr="0096553B">
              <w:rPr>
                <w:rFonts w:cstheme="minorHAnsi"/>
              </w:rPr>
              <w:t xml:space="preserve">use a standardized form for the site visits like some other states (see California’s form at </w:t>
            </w:r>
            <w:r w:rsidR="005F546C" w:rsidRPr="0096553B">
              <w:rPr>
                <w:rStyle w:val="Hyperlink"/>
                <w:rFonts w:cstheme="minorHAnsi"/>
                <w:color w:val="auto"/>
                <w:u w:val="none"/>
              </w:rPr>
              <w:t>https://www.ccah-alliance.org/PReview/PAR-tool-2011.pdf</w:t>
            </w:r>
            <w:r w:rsidR="005F546C" w:rsidRPr="0096553B">
              <w:rPr>
                <w:rFonts w:cstheme="minorHAnsi"/>
              </w:rPr>
              <w:t xml:space="preserve">, or Massachusetts’ form at </w:t>
            </w:r>
            <w:r w:rsidR="005F546C" w:rsidRPr="0096553B">
              <w:rPr>
                <w:rStyle w:val="Hyperlink"/>
                <w:rFonts w:cstheme="minorHAnsi"/>
                <w:color w:val="auto"/>
                <w:u w:val="none"/>
              </w:rPr>
              <w:t>http://archives.lib.state.ma.us/bitstream/handle/</w:t>
            </w:r>
            <w:r w:rsidR="00674179" w:rsidRPr="0096553B">
              <w:rPr>
                <w:rStyle w:val="Hyperlink"/>
                <w:rFonts w:cstheme="minorHAnsi"/>
                <w:color w:val="auto"/>
                <w:u w:val="none"/>
              </w:rPr>
              <w:t xml:space="preserve"> </w:t>
            </w:r>
            <w:r w:rsidR="005F546C" w:rsidRPr="0096553B">
              <w:rPr>
                <w:rStyle w:val="Hyperlink"/>
                <w:rFonts w:cstheme="minorHAnsi"/>
                <w:color w:val="auto"/>
                <w:u w:val="none"/>
              </w:rPr>
              <w:t>2452/616835/ocn970347504.pdf?sequence=1&amp;isAllowed=y</w:t>
            </w:r>
            <w:r w:rsidR="005F546C" w:rsidRPr="0096553B">
              <w:rPr>
                <w:rFonts w:cstheme="minorHAnsi"/>
              </w:rPr>
              <w:t>). The use of a standardized form</w:t>
            </w:r>
            <w:r w:rsidR="009B4C35" w:rsidRPr="0096553B">
              <w:rPr>
                <w:rFonts w:cstheme="minorHAnsi"/>
              </w:rPr>
              <w:t>, and submittal of this data to the Department,</w:t>
            </w:r>
            <w:r w:rsidR="005F546C" w:rsidRPr="0096553B">
              <w:rPr>
                <w:rFonts w:cstheme="minorHAnsi"/>
              </w:rPr>
              <w:t xml:space="preserve"> would ensure the availability of standardized data to </w:t>
            </w:r>
            <w:r w:rsidR="00967018" w:rsidRPr="0096553B">
              <w:rPr>
                <w:rFonts w:cstheme="minorHAnsi"/>
              </w:rPr>
              <w:t xml:space="preserve">better </w:t>
            </w:r>
            <w:r w:rsidR="005F546C" w:rsidRPr="0096553B">
              <w:rPr>
                <w:rFonts w:cstheme="minorHAnsi"/>
              </w:rPr>
              <w:t xml:space="preserve">oversee compliance with </w:t>
            </w:r>
            <w:r w:rsidR="0074040C" w:rsidRPr="0096553B">
              <w:rPr>
                <w:rFonts w:cstheme="minorHAnsi"/>
              </w:rPr>
              <w:t>these</w:t>
            </w:r>
            <w:r w:rsidR="00967018" w:rsidRPr="0096553B">
              <w:rPr>
                <w:rFonts w:cstheme="minorHAnsi"/>
              </w:rPr>
              <w:t xml:space="preserve"> provision</w:t>
            </w:r>
            <w:r w:rsidR="0074040C" w:rsidRPr="0096553B">
              <w:rPr>
                <w:rFonts w:cstheme="minorHAnsi"/>
              </w:rPr>
              <w:t>s</w:t>
            </w:r>
            <w:r w:rsidR="005F546C" w:rsidRPr="0096553B">
              <w:rPr>
                <w:rFonts w:cstheme="minorHAnsi"/>
              </w:rPr>
              <w:t xml:space="preserve">. </w:t>
            </w:r>
          </w:p>
        </w:tc>
        <w:tc>
          <w:tcPr>
            <w:tcW w:w="1559" w:type="pct"/>
            <w:shd w:val="clear" w:color="auto" w:fill="D9D9D9" w:themeFill="background1" w:themeFillShade="D9"/>
          </w:tcPr>
          <w:p w14:paraId="0114B330" w14:textId="77777777" w:rsidR="00C47465" w:rsidRPr="0096553B" w:rsidRDefault="00C47465" w:rsidP="00702D5F">
            <w:pPr>
              <w:rPr>
                <w:rFonts w:asciiTheme="minorHAnsi" w:hAnsiTheme="minorHAnsi" w:cs="Arial"/>
                <w:color w:val="FF0000"/>
                <w:sz w:val="22"/>
                <w:szCs w:val="22"/>
                <w:highlight w:val="yellow"/>
              </w:rPr>
            </w:pPr>
          </w:p>
        </w:tc>
      </w:tr>
      <w:tr w:rsidR="00C47465" w:rsidRPr="0096553B" w14:paraId="22C9FB44" w14:textId="77777777" w:rsidTr="00F23332">
        <w:trPr>
          <w:trHeight w:val="1353"/>
          <w:jc w:val="center"/>
        </w:trPr>
        <w:tc>
          <w:tcPr>
            <w:tcW w:w="432" w:type="pct"/>
            <w:shd w:val="clear" w:color="auto" w:fill="auto"/>
            <w:vAlign w:val="center"/>
          </w:tcPr>
          <w:p w14:paraId="15444F31" w14:textId="77777777" w:rsidR="00C47465" w:rsidRPr="0096553B" w:rsidRDefault="00A63B2F" w:rsidP="00702D5F">
            <w:pPr>
              <w:jc w:val="center"/>
              <w:rPr>
                <w:rFonts w:asciiTheme="minorHAnsi" w:hAnsiTheme="minorHAnsi"/>
                <w:color w:val="000000"/>
                <w:sz w:val="22"/>
                <w:szCs w:val="22"/>
              </w:rPr>
            </w:pPr>
            <w:r w:rsidRPr="0096553B">
              <w:rPr>
                <w:rFonts w:asciiTheme="minorHAnsi" w:hAnsiTheme="minorHAnsi"/>
                <w:color w:val="000000"/>
                <w:sz w:val="22"/>
                <w:szCs w:val="22"/>
              </w:rPr>
              <w:lastRenderedPageBreak/>
              <w:t xml:space="preserve">9.2.1, </w:t>
            </w:r>
            <w:proofErr w:type="spellStart"/>
            <w:r w:rsidRPr="0096553B">
              <w:rPr>
                <w:rFonts w:asciiTheme="minorHAnsi" w:hAnsiTheme="minorHAnsi"/>
                <w:color w:val="000000"/>
                <w:sz w:val="22"/>
                <w:szCs w:val="22"/>
              </w:rPr>
              <w:t>pg</w:t>
            </w:r>
            <w:proofErr w:type="spellEnd"/>
            <w:r w:rsidRPr="0096553B">
              <w:rPr>
                <w:rFonts w:asciiTheme="minorHAnsi" w:hAnsiTheme="minorHAnsi"/>
                <w:color w:val="000000"/>
                <w:sz w:val="22"/>
                <w:szCs w:val="22"/>
              </w:rPr>
              <w:t xml:space="preserve"> 166</w:t>
            </w:r>
          </w:p>
        </w:tc>
        <w:tc>
          <w:tcPr>
            <w:tcW w:w="913" w:type="pct"/>
            <w:shd w:val="clear" w:color="auto" w:fill="auto"/>
            <w:vAlign w:val="center"/>
          </w:tcPr>
          <w:p w14:paraId="789EBB77" w14:textId="2B16CAA6" w:rsidR="00C47465" w:rsidRPr="0096553B" w:rsidRDefault="00A63B2F"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The Contractor shall provide Members with a choice of at least two (2) providers</w:t>
            </w:r>
            <w:r w:rsidRPr="0096553B">
              <w:rPr>
                <w:rFonts w:asciiTheme="minorHAnsi" w:hAnsiTheme="minorHAnsi" w:cstheme="minorHAnsi"/>
                <w:color w:val="FF0000"/>
                <w:sz w:val="22"/>
                <w:szCs w:val="22"/>
                <w:u w:val="single"/>
              </w:rPr>
              <w:t xml:space="preserve"> who are physically accessible</w:t>
            </w:r>
            <w:r w:rsidR="00575797" w:rsidRPr="0096553B">
              <w:rPr>
                <w:rFonts w:asciiTheme="minorHAnsi" w:hAnsiTheme="minorHAnsi" w:cstheme="minorHAnsi"/>
                <w:color w:val="FF0000"/>
                <w:sz w:val="22"/>
                <w:szCs w:val="22"/>
                <w:u w:val="single"/>
              </w:rPr>
              <w:t xml:space="preserve"> to the member</w:t>
            </w:r>
            <w:r w:rsidRPr="0096553B">
              <w:rPr>
                <w:rFonts w:asciiTheme="minorHAnsi" w:hAnsiTheme="minorHAnsi" w:cstheme="minorHAnsi"/>
                <w:sz w:val="22"/>
                <w:szCs w:val="22"/>
              </w:rPr>
              <w:t>…”</w:t>
            </w:r>
          </w:p>
        </w:tc>
        <w:tc>
          <w:tcPr>
            <w:tcW w:w="2096" w:type="pct"/>
            <w:shd w:val="clear" w:color="auto" w:fill="auto"/>
            <w:vAlign w:val="center"/>
          </w:tcPr>
          <w:p w14:paraId="7C8AB050" w14:textId="55B2186D" w:rsidR="00C47465" w:rsidRPr="0096553B" w:rsidRDefault="00A63B2F" w:rsidP="00B171FF">
            <w:pPr>
              <w:rPr>
                <w:rFonts w:asciiTheme="minorHAnsi" w:hAnsiTheme="minorHAnsi" w:cstheme="minorHAnsi"/>
                <w:color w:val="000000"/>
                <w:sz w:val="22"/>
                <w:szCs w:val="22"/>
              </w:rPr>
            </w:pPr>
            <w:r w:rsidRPr="0096553B">
              <w:rPr>
                <w:rFonts w:asciiTheme="minorHAnsi" w:hAnsiTheme="minorHAnsi" w:cstheme="minorHAnsi"/>
                <w:sz w:val="22"/>
                <w:szCs w:val="22"/>
              </w:rPr>
              <w:t>The research literature has consistently found that inaccessible health care is a major barrier to people with disabilities receiving high-quality care.</w:t>
            </w:r>
            <w:r w:rsidR="00B171FF">
              <w:rPr>
                <w:rFonts w:asciiTheme="minorHAnsi" w:hAnsiTheme="minorHAnsi" w:cstheme="minorHAnsi"/>
                <w:sz w:val="22"/>
                <w:szCs w:val="22"/>
              </w:rPr>
              <w:t xml:space="preserve"> Accessibility includes more than just getting in the door. It includes accessible equipment (mammogram, MRI, X ray equipment), exam tables, etc.</w:t>
            </w:r>
          </w:p>
        </w:tc>
        <w:tc>
          <w:tcPr>
            <w:tcW w:w="1559" w:type="pct"/>
            <w:shd w:val="clear" w:color="auto" w:fill="D9D9D9" w:themeFill="background1" w:themeFillShade="D9"/>
          </w:tcPr>
          <w:p w14:paraId="6F9ADAD4" w14:textId="77777777" w:rsidR="00C47465" w:rsidRPr="0096553B" w:rsidRDefault="00C47465" w:rsidP="00702D5F">
            <w:pPr>
              <w:rPr>
                <w:rFonts w:asciiTheme="minorHAnsi" w:hAnsiTheme="minorHAnsi" w:cs="Arial"/>
                <w:color w:val="FF0000"/>
                <w:sz w:val="22"/>
                <w:szCs w:val="22"/>
              </w:rPr>
            </w:pPr>
          </w:p>
        </w:tc>
      </w:tr>
      <w:tr w:rsidR="00C47465" w:rsidRPr="0096553B" w14:paraId="7025E82A" w14:textId="77777777" w:rsidTr="00F23332">
        <w:trPr>
          <w:trHeight w:val="1353"/>
          <w:jc w:val="center"/>
        </w:trPr>
        <w:tc>
          <w:tcPr>
            <w:tcW w:w="432" w:type="pct"/>
            <w:shd w:val="clear" w:color="auto" w:fill="auto"/>
            <w:vAlign w:val="center"/>
          </w:tcPr>
          <w:p w14:paraId="39B92A1C" w14:textId="77777777" w:rsidR="00C47465" w:rsidRPr="0096553B" w:rsidRDefault="006D0DDA" w:rsidP="00702D5F">
            <w:pPr>
              <w:jc w:val="center"/>
              <w:rPr>
                <w:rFonts w:ascii="Calibri" w:hAnsi="Calibri"/>
                <w:color w:val="000000"/>
                <w:sz w:val="22"/>
                <w:szCs w:val="22"/>
              </w:rPr>
            </w:pPr>
            <w:r w:rsidRPr="0096553B">
              <w:rPr>
                <w:rFonts w:ascii="Calibri" w:hAnsi="Calibri"/>
                <w:color w:val="000000"/>
                <w:sz w:val="22"/>
                <w:szCs w:val="22"/>
              </w:rPr>
              <w:t xml:space="preserve">9.2.3,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167</w:t>
            </w:r>
          </w:p>
        </w:tc>
        <w:tc>
          <w:tcPr>
            <w:tcW w:w="913" w:type="pct"/>
            <w:shd w:val="clear" w:color="auto" w:fill="auto"/>
            <w:vAlign w:val="center"/>
          </w:tcPr>
          <w:p w14:paraId="0F9135D0" w14:textId="77777777" w:rsidR="00C47465" w:rsidRPr="0096553B" w:rsidRDefault="006D0DDA" w:rsidP="00702D5F">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 xml:space="preserve">When a Member with special health care needs has been identified through an assessment to need a course of treatment or </w:t>
            </w:r>
            <w:r w:rsidRPr="0096553B">
              <w:rPr>
                <w:rFonts w:asciiTheme="minorHAnsi" w:hAnsiTheme="minorHAnsi" w:cstheme="minorHAnsi"/>
                <w:sz w:val="22"/>
                <w:szCs w:val="22"/>
              </w:rPr>
              <w:lastRenderedPageBreak/>
              <w:t>regular care monitoring, and in compliance with 42 CFR § 438.208(c)(4), the Contractor shall have a mechanism in place to allow the Member to directly access a specialist, as appropriate for the Member’s condition and identified needs.”</w:t>
            </w:r>
          </w:p>
        </w:tc>
        <w:tc>
          <w:tcPr>
            <w:tcW w:w="2096" w:type="pct"/>
            <w:shd w:val="clear" w:color="auto" w:fill="auto"/>
            <w:vAlign w:val="center"/>
          </w:tcPr>
          <w:p w14:paraId="50CA2489" w14:textId="77777777" w:rsidR="00C47465" w:rsidRPr="0096553B" w:rsidRDefault="00BE6979" w:rsidP="00702D5F">
            <w:pPr>
              <w:rPr>
                <w:rFonts w:asciiTheme="minorHAnsi" w:hAnsiTheme="minorHAnsi" w:cstheme="minorHAnsi"/>
                <w:color w:val="000000"/>
                <w:sz w:val="22"/>
                <w:szCs w:val="22"/>
              </w:rPr>
            </w:pPr>
            <w:r w:rsidRPr="0096553B">
              <w:rPr>
                <w:rFonts w:asciiTheme="minorHAnsi" w:hAnsiTheme="minorHAnsi" w:cstheme="minorHAnsi"/>
                <w:sz w:val="22"/>
                <w:szCs w:val="22"/>
              </w:rPr>
              <w:lastRenderedPageBreak/>
              <w:t>This provision sh</w:t>
            </w:r>
            <w:r w:rsidR="006D0DDA" w:rsidRPr="0096553B">
              <w:rPr>
                <w:rFonts w:asciiTheme="minorHAnsi" w:hAnsiTheme="minorHAnsi" w:cstheme="minorHAnsi"/>
                <w:sz w:val="22"/>
                <w:szCs w:val="22"/>
              </w:rPr>
              <w:t>ould be strengthened by clarifying what “mechanism” is. For example, is it referring to the member not needing a referral in order to see a specialist and/or not needing to choose an in-network provider if one is not readily available?</w:t>
            </w:r>
          </w:p>
        </w:tc>
        <w:tc>
          <w:tcPr>
            <w:tcW w:w="1559" w:type="pct"/>
            <w:shd w:val="clear" w:color="auto" w:fill="D9D9D9" w:themeFill="background1" w:themeFillShade="D9"/>
          </w:tcPr>
          <w:p w14:paraId="75E8698B" w14:textId="77777777" w:rsidR="00C47465" w:rsidRPr="0096553B" w:rsidRDefault="00C47465" w:rsidP="00702D5F">
            <w:pPr>
              <w:rPr>
                <w:rFonts w:asciiTheme="minorHAnsi" w:hAnsiTheme="minorHAnsi" w:cs="Arial"/>
                <w:color w:val="FF0000"/>
                <w:sz w:val="22"/>
                <w:szCs w:val="22"/>
              </w:rPr>
            </w:pPr>
          </w:p>
        </w:tc>
      </w:tr>
      <w:tr w:rsidR="00787F94" w:rsidRPr="0096553B" w14:paraId="395C6A96" w14:textId="77777777" w:rsidTr="00F23332">
        <w:trPr>
          <w:trHeight w:val="1353"/>
          <w:jc w:val="center"/>
        </w:trPr>
        <w:tc>
          <w:tcPr>
            <w:tcW w:w="432" w:type="pct"/>
            <w:shd w:val="clear" w:color="auto" w:fill="auto"/>
            <w:vAlign w:val="center"/>
          </w:tcPr>
          <w:p w14:paraId="3C43E9D8" w14:textId="29826A89" w:rsidR="00787F94" w:rsidRPr="0096553B" w:rsidRDefault="00787F94" w:rsidP="00702D5F">
            <w:pPr>
              <w:jc w:val="center"/>
              <w:rPr>
                <w:rFonts w:ascii="Calibri" w:hAnsi="Calibri"/>
                <w:color w:val="000000"/>
                <w:sz w:val="22"/>
                <w:szCs w:val="22"/>
              </w:rPr>
            </w:pPr>
            <w:r>
              <w:rPr>
                <w:rFonts w:ascii="Calibri" w:hAnsi="Calibri"/>
                <w:color w:val="000000"/>
                <w:sz w:val="22"/>
                <w:szCs w:val="22"/>
              </w:rPr>
              <w:lastRenderedPageBreak/>
              <w:t xml:space="preserve">10.4, </w:t>
            </w:r>
            <w:proofErr w:type="spellStart"/>
            <w:r>
              <w:rPr>
                <w:rFonts w:ascii="Calibri" w:hAnsi="Calibri"/>
                <w:color w:val="000000"/>
                <w:sz w:val="22"/>
                <w:szCs w:val="22"/>
              </w:rPr>
              <w:t>pg</w:t>
            </w:r>
            <w:proofErr w:type="spellEnd"/>
            <w:r>
              <w:rPr>
                <w:rFonts w:ascii="Calibri" w:hAnsi="Calibri"/>
                <w:color w:val="000000"/>
                <w:sz w:val="22"/>
                <w:szCs w:val="22"/>
              </w:rPr>
              <w:t xml:space="preserve"> 177</w:t>
            </w:r>
          </w:p>
        </w:tc>
        <w:tc>
          <w:tcPr>
            <w:tcW w:w="913" w:type="pct"/>
            <w:shd w:val="clear" w:color="auto" w:fill="auto"/>
            <w:vAlign w:val="center"/>
          </w:tcPr>
          <w:p w14:paraId="5EDEDEE6" w14:textId="77777777" w:rsidR="00787F94" w:rsidRPr="00787F94" w:rsidRDefault="00787F94" w:rsidP="00787F94">
            <w:pPr>
              <w:rPr>
                <w:rFonts w:asciiTheme="minorHAnsi" w:hAnsiTheme="minorHAnsi" w:cstheme="minorHAnsi"/>
                <w:sz w:val="22"/>
                <w:szCs w:val="22"/>
              </w:rPr>
            </w:pPr>
            <w:r w:rsidRPr="00787F94">
              <w:rPr>
                <w:rFonts w:asciiTheme="minorHAnsi" w:hAnsiTheme="minorHAnsi" w:cstheme="minorHAnsi"/>
                <w:color w:val="000000"/>
                <w:sz w:val="22"/>
                <w:szCs w:val="22"/>
              </w:rPr>
              <w:t>“</w:t>
            </w:r>
            <w:r w:rsidRPr="00787F94">
              <w:rPr>
                <w:rFonts w:asciiTheme="minorHAnsi" w:hAnsiTheme="minorHAnsi" w:cstheme="minorHAnsi"/>
                <w:sz w:val="22"/>
                <w:szCs w:val="22"/>
              </w:rPr>
              <w:t>The Contractor shall have in place a written description of the QI Program that delineates the structure, goals, and objectives of the Contractor’s QI initiatives.  Such description shall:</w:t>
            </w:r>
          </w:p>
          <w:p w14:paraId="146ED90A" w14:textId="367F6376" w:rsidR="00787F94" w:rsidRPr="0096553B" w:rsidRDefault="00787F94" w:rsidP="00702D5F">
            <w:pPr>
              <w:rPr>
                <w:rFonts w:asciiTheme="minorHAnsi" w:hAnsiTheme="minorHAnsi" w:cstheme="minorHAnsi"/>
                <w:color w:val="000000"/>
                <w:sz w:val="22"/>
                <w:szCs w:val="22"/>
              </w:rPr>
            </w:pPr>
            <w:r w:rsidRPr="00787F94">
              <w:rPr>
                <w:rFonts w:asciiTheme="minorHAnsi" w:hAnsiTheme="minorHAnsi" w:cstheme="minorHAnsi"/>
                <w:sz w:val="22"/>
                <w:szCs w:val="22"/>
              </w:rPr>
              <w:t>(1) Address all aspects of</w:t>
            </w:r>
            <w:r w:rsidR="00811C3C">
              <w:rPr>
                <w:rFonts w:asciiTheme="minorHAnsi" w:hAnsiTheme="minorHAnsi" w:cstheme="minorHAnsi"/>
                <w:color w:val="FF0000"/>
                <w:sz w:val="22"/>
                <w:szCs w:val="22"/>
                <w:u w:val="single"/>
              </w:rPr>
              <w:t xml:space="preserve"> providing</w:t>
            </w:r>
            <w:r w:rsidRPr="00787F94">
              <w:rPr>
                <w:rFonts w:asciiTheme="minorHAnsi" w:hAnsiTheme="minorHAnsi" w:cstheme="minorHAnsi"/>
                <w:sz w:val="22"/>
                <w:szCs w:val="22"/>
              </w:rPr>
              <w:t xml:space="preserve"> health care, including specific reference to behavioral health care and to LTSS, with respect to monitoring and improvement efforts, and </w:t>
            </w:r>
            <w:r w:rsidRPr="00787F94">
              <w:rPr>
                <w:rFonts w:asciiTheme="minorHAnsi" w:hAnsiTheme="minorHAnsi" w:cstheme="minorHAnsi"/>
                <w:sz w:val="22"/>
                <w:szCs w:val="22"/>
              </w:rPr>
              <w:lastRenderedPageBreak/>
              <w:t>integration with physical health care. Behavioral health and LTSS aspects of the QI program may be included in the QI description, or in a separate QI Plan referenced in the QI description</w:t>
            </w:r>
            <w:r w:rsidR="00D23EA2">
              <w:rPr>
                <w:rFonts w:asciiTheme="minorHAnsi" w:hAnsiTheme="minorHAnsi" w:cstheme="minorHAnsi"/>
                <w:sz w:val="22"/>
                <w:szCs w:val="22"/>
              </w:rPr>
              <w:t>.</w:t>
            </w:r>
            <w:r w:rsidR="00B00AD5">
              <w:rPr>
                <w:rFonts w:asciiTheme="minorHAnsi" w:hAnsiTheme="minorHAnsi" w:cstheme="minorHAnsi"/>
                <w:color w:val="FF0000"/>
                <w:sz w:val="22"/>
                <w:szCs w:val="22"/>
                <w:u w:val="single"/>
              </w:rPr>
              <w:t xml:space="preserve"> The QI</w:t>
            </w:r>
            <w:r w:rsidR="00060592">
              <w:rPr>
                <w:rFonts w:asciiTheme="minorHAnsi" w:hAnsiTheme="minorHAnsi" w:cstheme="minorHAnsi"/>
                <w:color w:val="FF0000"/>
                <w:sz w:val="22"/>
                <w:szCs w:val="22"/>
                <w:u w:val="single"/>
              </w:rPr>
              <w:t xml:space="preserve"> program</w:t>
            </w:r>
            <w:r w:rsidR="00B00AD5">
              <w:rPr>
                <w:rFonts w:asciiTheme="minorHAnsi" w:hAnsiTheme="minorHAnsi" w:cstheme="minorHAnsi"/>
                <w:color w:val="FF0000"/>
                <w:sz w:val="22"/>
                <w:szCs w:val="22"/>
                <w:u w:val="single"/>
              </w:rPr>
              <w:t xml:space="preserve"> description should also address non-emergency medical transportation, the details of which may be included in a separate QI Plan referenced in the QI </w:t>
            </w:r>
            <w:r w:rsidR="0006188F">
              <w:rPr>
                <w:rFonts w:asciiTheme="minorHAnsi" w:hAnsiTheme="minorHAnsi" w:cstheme="minorHAnsi"/>
                <w:color w:val="FF0000"/>
                <w:sz w:val="22"/>
                <w:szCs w:val="22"/>
                <w:u w:val="single"/>
              </w:rPr>
              <w:t xml:space="preserve">program </w:t>
            </w:r>
            <w:r w:rsidR="00B00AD5">
              <w:rPr>
                <w:rFonts w:asciiTheme="minorHAnsi" w:hAnsiTheme="minorHAnsi" w:cstheme="minorHAnsi"/>
                <w:color w:val="FF0000"/>
                <w:sz w:val="22"/>
                <w:szCs w:val="22"/>
                <w:u w:val="single"/>
              </w:rPr>
              <w:t>description.</w:t>
            </w:r>
            <w:r w:rsidRPr="00787F94">
              <w:rPr>
                <w:rFonts w:asciiTheme="minorHAnsi" w:hAnsiTheme="minorHAnsi" w:cstheme="minorHAnsi"/>
                <w:sz w:val="22"/>
                <w:szCs w:val="22"/>
              </w:rPr>
              <w:t>”</w:t>
            </w:r>
          </w:p>
        </w:tc>
        <w:tc>
          <w:tcPr>
            <w:tcW w:w="2096" w:type="pct"/>
            <w:shd w:val="clear" w:color="auto" w:fill="auto"/>
            <w:vAlign w:val="center"/>
          </w:tcPr>
          <w:p w14:paraId="7B8918BD" w14:textId="51993BCE" w:rsidR="00787F94" w:rsidRPr="0096553B" w:rsidRDefault="002509C8" w:rsidP="00B171FF">
            <w:pPr>
              <w:rPr>
                <w:rFonts w:asciiTheme="minorHAnsi" w:hAnsiTheme="minorHAnsi" w:cstheme="minorHAnsi"/>
                <w:sz w:val="22"/>
                <w:szCs w:val="22"/>
              </w:rPr>
            </w:pPr>
            <w:r>
              <w:rPr>
                <w:rFonts w:asciiTheme="minorHAnsi" w:hAnsiTheme="minorHAnsi" w:cstheme="minorHAnsi"/>
                <w:sz w:val="22"/>
                <w:szCs w:val="22"/>
              </w:rPr>
              <w:lastRenderedPageBreak/>
              <w:t xml:space="preserve">While contract sections 10.2 and 10.3 state that continuous quality improvement should apply to all aspects of the Contractor’s service delivery system, the majority of contract section 10 appears to focus on </w:t>
            </w:r>
            <w:r w:rsidR="00A84B5E">
              <w:rPr>
                <w:rFonts w:asciiTheme="minorHAnsi" w:hAnsiTheme="minorHAnsi" w:cstheme="minorHAnsi"/>
                <w:sz w:val="22"/>
                <w:szCs w:val="22"/>
              </w:rPr>
              <w:t xml:space="preserve">direct </w:t>
            </w:r>
            <w:r>
              <w:rPr>
                <w:rFonts w:asciiTheme="minorHAnsi" w:hAnsiTheme="minorHAnsi" w:cstheme="minorHAnsi"/>
                <w:sz w:val="22"/>
                <w:szCs w:val="22"/>
              </w:rPr>
              <w:t xml:space="preserve">medical services. </w:t>
            </w:r>
            <w:r w:rsidRPr="002509C8">
              <w:rPr>
                <w:rFonts w:asciiTheme="minorHAnsi" w:hAnsiTheme="minorHAnsi" w:cstheme="minorHAnsi"/>
                <w:sz w:val="22"/>
                <w:szCs w:val="22"/>
              </w:rPr>
              <w:t xml:space="preserve">VBPD was pleased to see consideration of </w:t>
            </w:r>
            <w:r>
              <w:rPr>
                <w:rFonts w:asciiTheme="minorHAnsi" w:hAnsiTheme="minorHAnsi" w:cstheme="minorHAnsi"/>
                <w:sz w:val="22"/>
                <w:szCs w:val="22"/>
              </w:rPr>
              <w:t>requiring an NEMT quality assurance program</w:t>
            </w:r>
            <w:r w:rsidRPr="002509C8">
              <w:rPr>
                <w:rFonts w:asciiTheme="minorHAnsi" w:hAnsiTheme="minorHAnsi" w:cstheme="minorHAnsi"/>
                <w:sz w:val="22"/>
                <w:szCs w:val="22"/>
              </w:rPr>
              <w:t xml:space="preserve"> in last year’s contract revision process</w:t>
            </w:r>
            <w:r w:rsidR="0043740C">
              <w:rPr>
                <w:rFonts w:asciiTheme="minorHAnsi" w:hAnsiTheme="minorHAnsi" w:cstheme="minorHAnsi"/>
                <w:sz w:val="22"/>
                <w:szCs w:val="22"/>
              </w:rPr>
              <w:t xml:space="preserve"> (in a proposed new section 4.10.20)</w:t>
            </w:r>
            <w:r w:rsidRPr="002509C8">
              <w:rPr>
                <w:rFonts w:asciiTheme="minorHAnsi" w:hAnsiTheme="minorHAnsi" w:cstheme="minorHAnsi"/>
                <w:sz w:val="22"/>
                <w:szCs w:val="22"/>
              </w:rPr>
              <w:t xml:space="preserve">, and urges the Department </w:t>
            </w:r>
            <w:r w:rsidR="00B171FF">
              <w:rPr>
                <w:rFonts w:asciiTheme="minorHAnsi" w:hAnsiTheme="minorHAnsi" w:cstheme="minorHAnsi"/>
                <w:sz w:val="22"/>
                <w:szCs w:val="22"/>
              </w:rPr>
              <w:t xml:space="preserve">incorporate </w:t>
            </w:r>
            <w:r w:rsidR="00207742">
              <w:rPr>
                <w:rFonts w:asciiTheme="minorHAnsi" w:hAnsiTheme="minorHAnsi" w:cstheme="minorHAnsi"/>
                <w:sz w:val="22"/>
                <w:szCs w:val="22"/>
              </w:rPr>
              <w:t>that requirement</w:t>
            </w:r>
            <w:r w:rsidRPr="002509C8">
              <w:rPr>
                <w:rFonts w:asciiTheme="minorHAnsi" w:hAnsiTheme="minorHAnsi" w:cstheme="minorHAnsi"/>
                <w:sz w:val="22"/>
                <w:szCs w:val="22"/>
              </w:rPr>
              <w:t xml:space="preserve"> </w:t>
            </w:r>
            <w:r w:rsidR="0089286F">
              <w:rPr>
                <w:rFonts w:asciiTheme="minorHAnsi" w:hAnsiTheme="minorHAnsi" w:cstheme="minorHAnsi"/>
                <w:sz w:val="22"/>
                <w:szCs w:val="22"/>
              </w:rPr>
              <w:t>into section 10.4</w:t>
            </w:r>
            <w:r w:rsidR="00207742">
              <w:rPr>
                <w:rFonts w:asciiTheme="minorHAnsi" w:hAnsiTheme="minorHAnsi" w:cstheme="minorHAnsi"/>
                <w:sz w:val="22"/>
                <w:szCs w:val="22"/>
              </w:rPr>
              <w:t xml:space="preserve"> this year</w:t>
            </w:r>
            <w:r w:rsidRPr="002509C8">
              <w:rPr>
                <w:rFonts w:asciiTheme="minorHAnsi" w:hAnsiTheme="minorHAnsi" w:cstheme="minorHAnsi"/>
                <w:sz w:val="22"/>
                <w:szCs w:val="22"/>
              </w:rPr>
              <w:t>.</w:t>
            </w:r>
          </w:p>
        </w:tc>
        <w:tc>
          <w:tcPr>
            <w:tcW w:w="1559" w:type="pct"/>
            <w:shd w:val="clear" w:color="auto" w:fill="D9D9D9" w:themeFill="background1" w:themeFillShade="D9"/>
          </w:tcPr>
          <w:p w14:paraId="55870F22" w14:textId="77777777" w:rsidR="00787F94" w:rsidRPr="0096553B" w:rsidRDefault="00787F94" w:rsidP="00702D5F">
            <w:pPr>
              <w:rPr>
                <w:rFonts w:asciiTheme="minorHAnsi" w:hAnsiTheme="minorHAnsi" w:cs="Arial"/>
                <w:color w:val="FF0000"/>
                <w:sz w:val="22"/>
                <w:szCs w:val="22"/>
              </w:rPr>
            </w:pPr>
          </w:p>
        </w:tc>
      </w:tr>
      <w:tr w:rsidR="00C47465" w:rsidRPr="0096553B" w14:paraId="094ADCF3" w14:textId="77777777" w:rsidTr="00F23332">
        <w:trPr>
          <w:trHeight w:val="1353"/>
          <w:jc w:val="center"/>
        </w:trPr>
        <w:tc>
          <w:tcPr>
            <w:tcW w:w="432" w:type="pct"/>
            <w:shd w:val="clear" w:color="auto" w:fill="auto"/>
            <w:vAlign w:val="center"/>
          </w:tcPr>
          <w:p w14:paraId="79487808" w14:textId="77777777" w:rsidR="00C47465" w:rsidRPr="0096553B" w:rsidRDefault="005F614D" w:rsidP="00702D5F">
            <w:pPr>
              <w:jc w:val="center"/>
              <w:rPr>
                <w:rFonts w:ascii="Calibri" w:hAnsi="Calibri"/>
                <w:color w:val="000000"/>
                <w:sz w:val="22"/>
                <w:szCs w:val="22"/>
              </w:rPr>
            </w:pPr>
            <w:r w:rsidRPr="0096553B">
              <w:rPr>
                <w:rFonts w:ascii="Calibri" w:hAnsi="Calibri"/>
                <w:color w:val="000000"/>
                <w:sz w:val="22"/>
                <w:szCs w:val="22"/>
              </w:rPr>
              <w:lastRenderedPageBreak/>
              <w:t xml:space="preserve">11.5, </w:t>
            </w:r>
            <w:proofErr w:type="spellStart"/>
            <w:r w:rsidRPr="0096553B">
              <w:rPr>
                <w:rFonts w:ascii="Calibri" w:hAnsi="Calibri"/>
                <w:color w:val="000000"/>
                <w:sz w:val="22"/>
                <w:szCs w:val="22"/>
              </w:rPr>
              <w:t>pg</w:t>
            </w:r>
            <w:proofErr w:type="spellEnd"/>
            <w:r w:rsidRPr="0096553B">
              <w:rPr>
                <w:rFonts w:ascii="Calibri" w:hAnsi="Calibri"/>
                <w:color w:val="000000"/>
                <w:sz w:val="22"/>
                <w:szCs w:val="22"/>
              </w:rPr>
              <w:t xml:space="preserve"> 195</w:t>
            </w:r>
          </w:p>
        </w:tc>
        <w:tc>
          <w:tcPr>
            <w:tcW w:w="913" w:type="pct"/>
            <w:shd w:val="clear" w:color="auto" w:fill="auto"/>
            <w:vAlign w:val="center"/>
          </w:tcPr>
          <w:p w14:paraId="6C31D6F2" w14:textId="77777777" w:rsidR="00C47465" w:rsidRPr="0096553B" w:rsidRDefault="005F614D"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The Contractor shall participate in the Department’s efforts to promote the delivery of services in a culturally competent manner to all Members including those with limited English proficiency</w:t>
            </w:r>
            <w:r w:rsidRPr="0096553B">
              <w:rPr>
                <w:rFonts w:asciiTheme="minorHAnsi" w:hAnsiTheme="minorHAnsi" w:cstheme="minorHAnsi"/>
                <w:color w:val="FF0000"/>
                <w:sz w:val="22"/>
                <w:szCs w:val="22"/>
              </w:rPr>
              <w:t>, differing abilities,</w:t>
            </w:r>
            <w:r w:rsidRPr="0096553B">
              <w:rPr>
                <w:rFonts w:asciiTheme="minorHAnsi" w:hAnsiTheme="minorHAnsi" w:cstheme="minorHAnsi"/>
                <w:sz w:val="22"/>
                <w:szCs w:val="22"/>
              </w:rPr>
              <w:t xml:space="preserve"> and diverse </w:t>
            </w:r>
            <w:r w:rsidRPr="0096553B">
              <w:rPr>
                <w:rFonts w:asciiTheme="minorHAnsi" w:hAnsiTheme="minorHAnsi" w:cstheme="minorHAnsi"/>
                <w:sz w:val="22"/>
                <w:szCs w:val="22"/>
              </w:rPr>
              <w:lastRenderedPageBreak/>
              <w:t>cultural and ethnic backgrounds.”</w:t>
            </w:r>
          </w:p>
        </w:tc>
        <w:tc>
          <w:tcPr>
            <w:tcW w:w="2096" w:type="pct"/>
            <w:shd w:val="clear" w:color="auto" w:fill="auto"/>
            <w:vAlign w:val="center"/>
          </w:tcPr>
          <w:p w14:paraId="4F0FEE7C" w14:textId="77777777" w:rsidR="00C47465" w:rsidRPr="0096553B" w:rsidRDefault="00BE6979" w:rsidP="00702D5F">
            <w:pPr>
              <w:rPr>
                <w:rFonts w:ascii="Calibri" w:hAnsi="Calibri"/>
                <w:color w:val="000000"/>
                <w:sz w:val="22"/>
                <w:szCs w:val="22"/>
              </w:rPr>
            </w:pPr>
            <w:r w:rsidRPr="0096553B">
              <w:rPr>
                <w:rFonts w:ascii="Calibri" w:hAnsi="Calibri"/>
                <w:color w:val="000000"/>
                <w:sz w:val="22"/>
                <w:szCs w:val="22"/>
              </w:rPr>
              <w:lastRenderedPageBreak/>
              <w:t>This provision sh</w:t>
            </w:r>
            <w:r w:rsidR="00F06B22" w:rsidRPr="0096553B">
              <w:rPr>
                <w:rFonts w:ascii="Calibri" w:hAnsi="Calibri"/>
                <w:color w:val="000000"/>
                <w:sz w:val="22"/>
                <w:szCs w:val="22"/>
              </w:rPr>
              <w:t>ould be strengthened by ensuring that the Contractor promotes the delivery of culturally competent services to people with disabilities</w:t>
            </w:r>
            <w:r w:rsidR="002F5615" w:rsidRPr="0096553B">
              <w:rPr>
                <w:rFonts w:ascii="Calibri" w:hAnsi="Calibri"/>
                <w:color w:val="000000"/>
                <w:sz w:val="22"/>
                <w:szCs w:val="22"/>
              </w:rPr>
              <w:t>.</w:t>
            </w:r>
          </w:p>
        </w:tc>
        <w:tc>
          <w:tcPr>
            <w:tcW w:w="1559" w:type="pct"/>
            <w:shd w:val="clear" w:color="auto" w:fill="D9D9D9" w:themeFill="background1" w:themeFillShade="D9"/>
          </w:tcPr>
          <w:p w14:paraId="313CEC88" w14:textId="77777777" w:rsidR="00C47465" w:rsidRPr="0096553B" w:rsidRDefault="00C47465" w:rsidP="00702D5F">
            <w:pPr>
              <w:rPr>
                <w:rFonts w:asciiTheme="minorHAnsi" w:hAnsiTheme="minorHAnsi" w:cs="Arial"/>
                <w:color w:val="FF0000"/>
                <w:sz w:val="22"/>
                <w:szCs w:val="22"/>
                <w:highlight w:val="yellow"/>
              </w:rPr>
            </w:pPr>
          </w:p>
        </w:tc>
      </w:tr>
      <w:tr w:rsidR="00C47465" w:rsidRPr="0096553B" w14:paraId="4CF4420A" w14:textId="77777777" w:rsidTr="00F23332">
        <w:trPr>
          <w:trHeight w:val="1106"/>
          <w:jc w:val="center"/>
        </w:trPr>
        <w:tc>
          <w:tcPr>
            <w:tcW w:w="432" w:type="pct"/>
            <w:shd w:val="clear" w:color="auto" w:fill="auto"/>
          </w:tcPr>
          <w:p w14:paraId="180B0AF4" w14:textId="77777777" w:rsidR="00C47465" w:rsidRPr="0096553B" w:rsidRDefault="0011136B" w:rsidP="00702D5F">
            <w:pPr>
              <w:jc w:val="center"/>
              <w:rPr>
                <w:rFonts w:ascii="Calibri" w:hAnsi="Calibri"/>
                <w:color w:val="000000"/>
                <w:sz w:val="22"/>
                <w:szCs w:val="22"/>
              </w:rPr>
            </w:pPr>
            <w:r w:rsidRPr="0096553B">
              <w:rPr>
                <w:rFonts w:ascii="Calibri" w:hAnsi="Calibri"/>
                <w:color w:val="000000"/>
                <w:sz w:val="22"/>
                <w:szCs w:val="22"/>
              </w:rPr>
              <w:lastRenderedPageBreak/>
              <w:t>11.9</w:t>
            </w:r>
          </w:p>
        </w:tc>
        <w:tc>
          <w:tcPr>
            <w:tcW w:w="913" w:type="pct"/>
            <w:shd w:val="clear" w:color="auto" w:fill="auto"/>
          </w:tcPr>
          <w:p w14:paraId="7AB000B6" w14:textId="77777777" w:rsidR="00B95937" w:rsidRPr="0096553B" w:rsidRDefault="0011136B" w:rsidP="00702D5F">
            <w:pPr>
              <w:rPr>
                <w:rFonts w:asciiTheme="minorHAnsi" w:hAnsiTheme="minorHAnsi" w:cstheme="minorHAnsi"/>
                <w:sz w:val="22"/>
                <w:szCs w:val="22"/>
              </w:rPr>
            </w:pPr>
            <w:r w:rsidRPr="0096553B">
              <w:rPr>
                <w:rFonts w:asciiTheme="minorHAnsi" w:hAnsiTheme="minorHAnsi" w:cstheme="minorHAnsi"/>
                <w:i/>
                <w:color w:val="000000"/>
                <w:sz w:val="22"/>
                <w:szCs w:val="22"/>
              </w:rPr>
              <w:t>“</w:t>
            </w:r>
            <w:r w:rsidRPr="0096553B">
              <w:rPr>
                <w:rFonts w:asciiTheme="minorHAnsi" w:hAnsiTheme="minorHAnsi" w:cstheme="minorHAnsi"/>
                <w:sz w:val="22"/>
                <w:szCs w:val="22"/>
              </w:rPr>
              <w:t xml:space="preserve">In accordance with Section 63.2-1606 of the </w:t>
            </w:r>
            <w:r w:rsidRPr="0096553B">
              <w:rPr>
                <w:rFonts w:asciiTheme="minorHAnsi" w:hAnsiTheme="minorHAnsi" w:cstheme="minorHAnsi"/>
                <w:i/>
                <w:sz w:val="22"/>
                <w:szCs w:val="22"/>
              </w:rPr>
              <w:t>Code of Virginia</w:t>
            </w:r>
            <w:r w:rsidRPr="0096553B">
              <w:rPr>
                <w:rFonts w:asciiTheme="minorHAnsi" w:hAnsiTheme="minorHAnsi" w:cstheme="minorHAnsi"/>
                <w:sz w:val="22"/>
                <w:szCs w:val="22"/>
              </w:rPr>
              <w:t>, the Contractor shall report immediately upon learning of any suspected or known abuse</w:t>
            </w:r>
            <w:r w:rsidR="00BE6979" w:rsidRPr="0096553B">
              <w:rPr>
                <w:rFonts w:asciiTheme="minorHAnsi" w:hAnsiTheme="minorHAnsi" w:cstheme="minorHAnsi"/>
                <w:color w:val="FF0000"/>
                <w:sz w:val="22"/>
                <w:szCs w:val="22"/>
                <w:u w:val="single"/>
              </w:rPr>
              <w:t>, neglect, or exploitation</w:t>
            </w:r>
            <w:r w:rsidRPr="0096553B">
              <w:rPr>
                <w:rFonts w:asciiTheme="minorHAnsi" w:hAnsiTheme="minorHAnsi" w:cstheme="minorHAnsi"/>
                <w:sz w:val="22"/>
                <w:szCs w:val="22"/>
              </w:rPr>
              <w:t xml:space="preserve"> of </w:t>
            </w:r>
            <w:r w:rsidRPr="0096553B">
              <w:rPr>
                <w:rFonts w:asciiTheme="minorHAnsi" w:hAnsiTheme="minorHAnsi" w:cstheme="minorHAnsi"/>
                <w:strike/>
                <w:color w:val="FF0000"/>
                <w:sz w:val="22"/>
                <w:szCs w:val="22"/>
              </w:rPr>
              <w:t>aged or incapacitated</w:t>
            </w:r>
            <w:r w:rsidRPr="0096553B">
              <w:rPr>
                <w:rFonts w:asciiTheme="minorHAnsi" w:hAnsiTheme="minorHAnsi" w:cstheme="minorHAnsi"/>
                <w:color w:val="FF0000"/>
                <w:sz w:val="22"/>
                <w:szCs w:val="22"/>
              </w:rPr>
              <w:t xml:space="preserve"> </w:t>
            </w:r>
            <w:r w:rsidRPr="0096553B">
              <w:rPr>
                <w:rFonts w:asciiTheme="minorHAnsi" w:hAnsiTheme="minorHAnsi" w:cstheme="minorHAnsi"/>
                <w:sz w:val="22"/>
                <w:szCs w:val="22"/>
              </w:rPr>
              <w:t>adults to the local adult protective services office or to the Virginia Department of Social Services' toll-free Adult Protective Services hotline…”</w:t>
            </w:r>
          </w:p>
        </w:tc>
        <w:tc>
          <w:tcPr>
            <w:tcW w:w="2096" w:type="pct"/>
            <w:shd w:val="clear" w:color="auto" w:fill="auto"/>
          </w:tcPr>
          <w:p w14:paraId="4D1850A9" w14:textId="0AF8BFD6" w:rsidR="00C47465" w:rsidRPr="0096553B" w:rsidRDefault="00BE6979" w:rsidP="00702D5F">
            <w:pPr>
              <w:rPr>
                <w:rFonts w:asciiTheme="minorHAnsi" w:hAnsiTheme="minorHAnsi" w:cstheme="minorHAnsi"/>
                <w:sz w:val="22"/>
                <w:szCs w:val="22"/>
              </w:rPr>
            </w:pPr>
            <w:r w:rsidRPr="0096553B">
              <w:rPr>
                <w:rFonts w:asciiTheme="minorHAnsi" w:hAnsiTheme="minorHAnsi" w:cstheme="minorHAnsi"/>
                <w:sz w:val="22"/>
                <w:szCs w:val="22"/>
              </w:rPr>
              <w:t>This provision should be broadened to</w:t>
            </w:r>
            <w:r w:rsidR="0011136B" w:rsidRPr="0096553B">
              <w:rPr>
                <w:rFonts w:asciiTheme="minorHAnsi" w:hAnsiTheme="minorHAnsi" w:cstheme="minorHAnsi"/>
                <w:sz w:val="22"/>
                <w:szCs w:val="22"/>
              </w:rPr>
              <w:t xml:space="preserve"> align with language in the body of Section 63.2-1606 in the </w:t>
            </w:r>
            <w:r w:rsidR="0011136B" w:rsidRPr="0096553B">
              <w:rPr>
                <w:rFonts w:asciiTheme="minorHAnsi" w:hAnsiTheme="minorHAnsi" w:cstheme="minorHAnsi"/>
                <w:i/>
                <w:sz w:val="22"/>
                <w:szCs w:val="22"/>
              </w:rPr>
              <w:t>Code of Virginia</w:t>
            </w:r>
            <w:r w:rsidR="0011136B" w:rsidRPr="0096553B">
              <w:rPr>
                <w:rFonts w:asciiTheme="minorHAnsi" w:hAnsiTheme="minorHAnsi" w:cstheme="minorHAnsi"/>
                <w:sz w:val="22"/>
                <w:szCs w:val="22"/>
              </w:rPr>
              <w:t xml:space="preserve"> and </w:t>
            </w:r>
            <w:r w:rsidRPr="0096553B">
              <w:rPr>
                <w:rFonts w:asciiTheme="minorHAnsi" w:hAnsiTheme="minorHAnsi" w:cstheme="minorHAnsi"/>
                <w:sz w:val="22"/>
                <w:szCs w:val="22"/>
              </w:rPr>
              <w:t xml:space="preserve">to better align with </w:t>
            </w:r>
            <w:r w:rsidR="0011136B" w:rsidRPr="0096553B">
              <w:rPr>
                <w:rFonts w:asciiTheme="minorHAnsi" w:hAnsiTheme="minorHAnsi" w:cstheme="minorHAnsi"/>
                <w:sz w:val="22"/>
                <w:szCs w:val="22"/>
              </w:rPr>
              <w:t>cultural competence standards</w:t>
            </w:r>
            <w:r w:rsidR="0002300C" w:rsidRPr="0096553B">
              <w:rPr>
                <w:rFonts w:asciiTheme="minorHAnsi" w:hAnsiTheme="minorHAnsi" w:cstheme="minorHAnsi"/>
                <w:sz w:val="22"/>
                <w:szCs w:val="22"/>
              </w:rPr>
              <w:t xml:space="preserve"> including people-first language</w:t>
            </w:r>
            <w:r w:rsidR="0011136B" w:rsidRPr="0096553B">
              <w:rPr>
                <w:rFonts w:asciiTheme="minorHAnsi" w:hAnsiTheme="minorHAnsi" w:cstheme="minorHAnsi"/>
                <w:sz w:val="22"/>
                <w:szCs w:val="22"/>
              </w:rPr>
              <w:t>.</w:t>
            </w:r>
          </w:p>
        </w:tc>
        <w:tc>
          <w:tcPr>
            <w:tcW w:w="1559" w:type="pct"/>
            <w:shd w:val="clear" w:color="auto" w:fill="D9D9D9" w:themeFill="background1" w:themeFillShade="D9"/>
          </w:tcPr>
          <w:p w14:paraId="38DB37B1" w14:textId="77777777" w:rsidR="00C47465" w:rsidRPr="0096553B" w:rsidRDefault="00C47465" w:rsidP="00702D5F">
            <w:pPr>
              <w:rPr>
                <w:rFonts w:asciiTheme="minorHAnsi" w:hAnsiTheme="minorHAnsi" w:cs="Arial"/>
                <w:color w:val="FF0000"/>
                <w:sz w:val="22"/>
                <w:szCs w:val="22"/>
              </w:rPr>
            </w:pPr>
          </w:p>
        </w:tc>
      </w:tr>
      <w:tr w:rsidR="00F23332" w:rsidRPr="0096553B" w14:paraId="18D829B0" w14:textId="77777777" w:rsidTr="00F23332">
        <w:trPr>
          <w:trHeight w:val="1178"/>
          <w:jc w:val="center"/>
        </w:trPr>
        <w:tc>
          <w:tcPr>
            <w:tcW w:w="432" w:type="pct"/>
            <w:shd w:val="clear" w:color="auto" w:fill="auto"/>
            <w:vAlign w:val="center"/>
          </w:tcPr>
          <w:p w14:paraId="51965113" w14:textId="77777777" w:rsidR="00F23332" w:rsidRPr="0096553B" w:rsidRDefault="00F23332"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11.11.6</w:t>
            </w:r>
          </w:p>
          <w:p w14:paraId="0EB11EC5" w14:textId="77777777" w:rsidR="00F23332" w:rsidRPr="0096553B" w:rsidRDefault="00F23332"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Page 201</w:t>
            </w:r>
          </w:p>
        </w:tc>
        <w:tc>
          <w:tcPr>
            <w:tcW w:w="913" w:type="pct"/>
            <w:shd w:val="clear" w:color="auto" w:fill="auto"/>
            <w:vAlign w:val="center"/>
          </w:tcPr>
          <w:p w14:paraId="3BF62F61" w14:textId="77777777" w:rsidR="00F23332" w:rsidRPr="0096553B" w:rsidRDefault="00F23332" w:rsidP="00FF1BB2">
            <w:pPr>
              <w:rPr>
                <w:rFonts w:asciiTheme="minorHAnsi" w:hAnsiTheme="minorHAnsi" w:cstheme="minorHAnsi"/>
                <w:color w:val="000000"/>
                <w:sz w:val="22"/>
                <w:szCs w:val="22"/>
              </w:rPr>
            </w:pPr>
            <w:r w:rsidRPr="0096553B">
              <w:rPr>
                <w:rFonts w:asciiTheme="minorHAnsi" w:hAnsiTheme="minorHAnsi" w:cstheme="minorHAnsi"/>
                <w:sz w:val="22"/>
                <w:szCs w:val="22"/>
              </w:rPr>
              <w:t>“The Department will periodically monitor the Contractor’s provider directories</w:t>
            </w:r>
            <w:r w:rsidRPr="0096553B">
              <w:rPr>
                <w:rFonts w:asciiTheme="minorHAnsi" w:hAnsiTheme="minorHAnsi" w:cstheme="minorHAnsi"/>
                <w:color w:val="FF0000"/>
                <w:sz w:val="22"/>
                <w:szCs w:val="22"/>
                <w:u w:val="single"/>
              </w:rPr>
              <w:t>, at least once annually,</w:t>
            </w:r>
            <w:r w:rsidRPr="0096553B">
              <w:rPr>
                <w:rFonts w:asciiTheme="minorHAnsi" w:hAnsiTheme="minorHAnsi" w:cstheme="minorHAnsi"/>
                <w:sz w:val="22"/>
                <w:szCs w:val="22"/>
              </w:rPr>
              <w:t xml:space="preserve"> to ensure compliance with these </w:t>
            </w:r>
            <w:r w:rsidRPr="0096553B">
              <w:rPr>
                <w:rFonts w:asciiTheme="minorHAnsi" w:hAnsiTheme="minorHAnsi" w:cstheme="minorHAnsi"/>
                <w:sz w:val="22"/>
                <w:szCs w:val="22"/>
              </w:rPr>
              <w:lastRenderedPageBreak/>
              <w:t>content requirements.”</w:t>
            </w:r>
          </w:p>
        </w:tc>
        <w:tc>
          <w:tcPr>
            <w:tcW w:w="2096" w:type="pct"/>
            <w:shd w:val="clear" w:color="auto" w:fill="auto"/>
            <w:vAlign w:val="center"/>
          </w:tcPr>
          <w:p w14:paraId="6E845E79" w14:textId="77777777" w:rsidR="00F23332" w:rsidRPr="0096553B" w:rsidRDefault="00F23332" w:rsidP="00702D5F">
            <w:pPr>
              <w:rPr>
                <w:rFonts w:asciiTheme="minorHAnsi" w:hAnsiTheme="minorHAnsi" w:cstheme="minorHAnsi"/>
                <w:sz w:val="22"/>
                <w:szCs w:val="22"/>
              </w:rPr>
            </w:pPr>
            <w:r w:rsidRPr="0096553B">
              <w:rPr>
                <w:rFonts w:asciiTheme="minorHAnsi" w:hAnsiTheme="minorHAnsi" w:cstheme="minorHAnsi"/>
                <w:sz w:val="22"/>
                <w:szCs w:val="22"/>
              </w:rPr>
              <w:lastRenderedPageBreak/>
              <w:t xml:space="preserve">VBPD is pleased that the Department added this sentence to the contract, in response to our feedback last year. </w:t>
            </w:r>
          </w:p>
          <w:p w14:paraId="672937AC" w14:textId="77777777" w:rsidR="00F23332" w:rsidRPr="0096553B" w:rsidRDefault="00F23332" w:rsidP="00702D5F">
            <w:pPr>
              <w:rPr>
                <w:rFonts w:asciiTheme="minorHAnsi" w:hAnsiTheme="minorHAnsi" w:cstheme="minorHAnsi"/>
                <w:sz w:val="22"/>
                <w:szCs w:val="22"/>
              </w:rPr>
            </w:pPr>
          </w:p>
          <w:p w14:paraId="1E0D6467" w14:textId="0D01EFE6" w:rsidR="009625B2" w:rsidRPr="0096553B" w:rsidRDefault="00F23332" w:rsidP="00702D5F">
            <w:pPr>
              <w:rPr>
                <w:rFonts w:asciiTheme="minorHAnsi" w:hAnsiTheme="minorHAnsi" w:cstheme="minorHAnsi"/>
                <w:sz w:val="22"/>
                <w:szCs w:val="22"/>
                <w:highlight w:val="yellow"/>
              </w:rPr>
            </w:pPr>
            <w:r w:rsidRPr="0096553B">
              <w:rPr>
                <w:rFonts w:asciiTheme="minorHAnsi" w:hAnsiTheme="minorHAnsi" w:cstheme="minorHAnsi"/>
                <w:sz w:val="22"/>
                <w:szCs w:val="22"/>
              </w:rPr>
              <w:t>Specificity of the frequency of the review would strengthen this provision</w:t>
            </w:r>
            <w:r w:rsidR="006903A0" w:rsidRPr="0096553B">
              <w:rPr>
                <w:rFonts w:asciiTheme="minorHAnsi" w:hAnsiTheme="minorHAnsi" w:cstheme="minorHAnsi"/>
                <w:sz w:val="22"/>
                <w:szCs w:val="22"/>
              </w:rPr>
              <w:t xml:space="preserve"> given that directories are updated on an ongoing basis and directories are still not fully in compliance</w:t>
            </w:r>
            <w:r w:rsidRPr="0096553B">
              <w:rPr>
                <w:rFonts w:asciiTheme="minorHAnsi" w:hAnsiTheme="minorHAnsi" w:cstheme="minorHAnsi"/>
                <w:sz w:val="22"/>
                <w:szCs w:val="22"/>
              </w:rPr>
              <w:t>.</w:t>
            </w:r>
            <w:r w:rsidR="009625B2" w:rsidRPr="0096553B">
              <w:rPr>
                <w:rFonts w:asciiTheme="minorHAnsi" w:hAnsiTheme="minorHAnsi" w:cstheme="minorHAnsi"/>
                <w:sz w:val="22"/>
                <w:szCs w:val="22"/>
              </w:rPr>
              <w:t xml:space="preserve"> A VBPD review of </w:t>
            </w:r>
            <w:r w:rsidR="009625B2" w:rsidRPr="0096553B">
              <w:rPr>
                <w:rFonts w:asciiTheme="minorHAnsi" w:hAnsiTheme="minorHAnsi" w:cstheme="minorHAnsi"/>
                <w:sz w:val="22"/>
                <w:szCs w:val="22"/>
              </w:rPr>
              <w:lastRenderedPageBreak/>
              <w:t xml:space="preserve">CCC Plus provider directories in late August 2018 indicates that at least some provider directories </w:t>
            </w:r>
            <w:r w:rsidRPr="0096553B">
              <w:rPr>
                <w:rFonts w:asciiTheme="minorHAnsi" w:hAnsiTheme="minorHAnsi" w:cstheme="minorHAnsi"/>
                <w:sz w:val="22"/>
                <w:szCs w:val="22"/>
              </w:rPr>
              <w:t xml:space="preserve">available online do not appear to fully meet </w:t>
            </w:r>
            <w:r w:rsidR="004B44C3" w:rsidRPr="0096553B">
              <w:rPr>
                <w:rFonts w:asciiTheme="minorHAnsi" w:hAnsiTheme="minorHAnsi" w:cstheme="minorHAnsi"/>
                <w:sz w:val="22"/>
                <w:szCs w:val="22"/>
              </w:rPr>
              <w:t>the intent of Sections 2.1.4, 11.5,</w:t>
            </w:r>
            <w:r w:rsidR="00C57E9B" w:rsidRPr="0096553B">
              <w:rPr>
                <w:rFonts w:asciiTheme="minorHAnsi" w:hAnsiTheme="minorHAnsi" w:cstheme="minorHAnsi"/>
                <w:sz w:val="22"/>
                <w:szCs w:val="22"/>
              </w:rPr>
              <w:t xml:space="preserve"> and</w:t>
            </w:r>
            <w:r w:rsidRPr="0096553B">
              <w:rPr>
                <w:rFonts w:asciiTheme="minorHAnsi" w:hAnsiTheme="minorHAnsi" w:cstheme="minorHAnsi"/>
                <w:sz w:val="22"/>
                <w:szCs w:val="22"/>
              </w:rPr>
              <w:t xml:space="preserve"> 11.11.6.1: </w:t>
            </w:r>
          </w:p>
          <w:p w14:paraId="0AC27601" w14:textId="4A3FBCFE" w:rsidR="00354C0D" w:rsidRPr="0096553B" w:rsidRDefault="001C3146" w:rsidP="00702D5F">
            <w:pPr>
              <w:pStyle w:val="ListParagraph"/>
              <w:numPr>
                <w:ilvl w:val="0"/>
                <w:numId w:val="32"/>
              </w:numPr>
              <w:spacing w:after="0" w:line="240" w:lineRule="auto"/>
              <w:rPr>
                <w:rFonts w:asciiTheme="minorHAnsi" w:hAnsiTheme="minorHAnsi" w:cstheme="minorHAnsi"/>
              </w:rPr>
            </w:pPr>
            <w:r w:rsidRPr="0096553B">
              <w:rPr>
                <w:rFonts w:asciiTheme="minorHAnsi" w:hAnsiTheme="minorHAnsi" w:cstheme="minorHAnsi"/>
              </w:rPr>
              <w:t>Three directories did</w:t>
            </w:r>
            <w:r w:rsidR="00354C0D" w:rsidRPr="0096553B">
              <w:rPr>
                <w:rFonts w:asciiTheme="minorHAnsi" w:hAnsiTheme="minorHAnsi" w:cstheme="minorHAnsi"/>
              </w:rPr>
              <w:t xml:space="preserve"> not indicate which specific accommodations were available for people with physical disabilities, only noting whether the provider overall was physically accessible despite</w:t>
            </w:r>
            <w:r w:rsidR="00FF1BB2">
              <w:rPr>
                <w:rFonts w:asciiTheme="minorHAnsi" w:hAnsiTheme="minorHAnsi" w:cstheme="minorHAnsi"/>
              </w:rPr>
              <w:t xml:space="preserve"> the fact</w:t>
            </w:r>
            <w:r w:rsidR="00354C0D" w:rsidRPr="0096553B">
              <w:rPr>
                <w:rFonts w:asciiTheme="minorHAnsi" w:hAnsiTheme="minorHAnsi" w:cstheme="minorHAnsi"/>
              </w:rPr>
              <w:t xml:space="preserve"> that there are many facets of accessibility</w:t>
            </w:r>
            <w:r w:rsidR="00D453EA" w:rsidRPr="0096553B">
              <w:rPr>
                <w:rFonts w:asciiTheme="minorHAnsi" w:hAnsiTheme="minorHAnsi" w:cstheme="minorHAnsi"/>
              </w:rPr>
              <w:t xml:space="preserve">. Section 11.11.6.1 required Contractors to note whether the provider has “specific accommodations </w:t>
            </w:r>
            <w:r w:rsidR="00D453EA" w:rsidRPr="0096553B">
              <w:t>for people with physical disabilities, such as wide entry, wheelchair access, accessible exam room(s) and tables, lifts, scales, bathrooms and stalls, grab bars, or other accessible equipment;”</w:t>
            </w:r>
            <w:r w:rsidR="00D453EA" w:rsidRPr="0096553B">
              <w:rPr>
                <w:rFonts w:asciiTheme="minorHAnsi" w:hAnsiTheme="minorHAnsi" w:cstheme="minorHAnsi"/>
              </w:rPr>
              <w:t xml:space="preserve"> </w:t>
            </w:r>
          </w:p>
          <w:p w14:paraId="739EBFAD" w14:textId="39BFD050" w:rsidR="009625B2" w:rsidRPr="0096553B" w:rsidRDefault="001C3146" w:rsidP="00702D5F">
            <w:pPr>
              <w:pStyle w:val="ListParagraph"/>
              <w:numPr>
                <w:ilvl w:val="0"/>
                <w:numId w:val="32"/>
              </w:numPr>
              <w:spacing w:after="0" w:line="240" w:lineRule="auto"/>
              <w:rPr>
                <w:rFonts w:asciiTheme="minorHAnsi" w:hAnsiTheme="minorHAnsi" w:cstheme="minorHAnsi"/>
              </w:rPr>
            </w:pPr>
            <w:r w:rsidRPr="0096553B">
              <w:rPr>
                <w:rFonts w:asciiTheme="minorHAnsi" w:hAnsiTheme="minorHAnsi" w:cstheme="minorHAnsi"/>
              </w:rPr>
              <w:t>One directory did</w:t>
            </w:r>
            <w:r w:rsidR="00F23332" w:rsidRPr="0096553B">
              <w:rPr>
                <w:rFonts w:asciiTheme="minorHAnsi" w:hAnsiTheme="minorHAnsi" w:cstheme="minorHAnsi"/>
              </w:rPr>
              <w:t xml:space="preserve"> not appear to include any information regarding cultural competency training</w:t>
            </w:r>
            <w:r w:rsidR="004B5236" w:rsidRPr="0096553B">
              <w:rPr>
                <w:rFonts w:asciiTheme="minorHAnsi" w:hAnsiTheme="minorHAnsi" w:cstheme="minorHAnsi"/>
              </w:rPr>
              <w:t>,</w:t>
            </w:r>
            <w:r w:rsidRPr="0096553B">
              <w:rPr>
                <w:rFonts w:asciiTheme="minorHAnsi" w:hAnsiTheme="minorHAnsi" w:cstheme="minorHAnsi"/>
              </w:rPr>
              <w:t xml:space="preserve"> and another two directories had a category for special experience or training but it was unclear whether this </w:t>
            </w:r>
            <w:r w:rsidR="004B5236" w:rsidRPr="0096553B">
              <w:rPr>
                <w:rFonts w:asciiTheme="minorHAnsi" w:hAnsiTheme="minorHAnsi" w:cstheme="minorHAnsi"/>
              </w:rPr>
              <w:t xml:space="preserve">category </w:t>
            </w:r>
            <w:r w:rsidRPr="0096553B">
              <w:rPr>
                <w:rFonts w:asciiTheme="minorHAnsi" w:hAnsiTheme="minorHAnsi" w:cstheme="minorHAnsi"/>
              </w:rPr>
              <w:t>specifically asked about cultural competency training</w:t>
            </w:r>
            <w:r w:rsidR="00F23332" w:rsidRPr="0096553B">
              <w:rPr>
                <w:rFonts w:asciiTheme="minorHAnsi" w:hAnsiTheme="minorHAnsi" w:cstheme="minorHAnsi"/>
              </w:rPr>
              <w:t xml:space="preserve">; </w:t>
            </w:r>
          </w:p>
          <w:p w14:paraId="02D2E4DC" w14:textId="5074355A" w:rsidR="009625B2" w:rsidRPr="0096553B" w:rsidRDefault="003C4C24" w:rsidP="00702D5F">
            <w:pPr>
              <w:pStyle w:val="ListParagraph"/>
              <w:numPr>
                <w:ilvl w:val="0"/>
                <w:numId w:val="32"/>
              </w:numPr>
              <w:spacing w:after="0" w:line="240" w:lineRule="auto"/>
              <w:rPr>
                <w:rFonts w:asciiTheme="minorHAnsi" w:hAnsiTheme="minorHAnsi" w:cstheme="minorHAnsi"/>
              </w:rPr>
            </w:pPr>
            <w:r w:rsidRPr="0096553B">
              <w:rPr>
                <w:rFonts w:asciiTheme="minorHAnsi" w:hAnsiTheme="minorHAnsi" w:cstheme="minorHAnsi"/>
              </w:rPr>
              <w:t>One directory</w:t>
            </w:r>
            <w:r w:rsidR="00F23332" w:rsidRPr="0096553B">
              <w:rPr>
                <w:rFonts w:asciiTheme="minorHAnsi" w:hAnsiTheme="minorHAnsi" w:cstheme="minorHAnsi"/>
              </w:rPr>
              <w:t xml:space="preserve"> </w:t>
            </w:r>
            <w:r w:rsidR="006316CA" w:rsidRPr="0096553B">
              <w:rPr>
                <w:rFonts w:asciiTheme="minorHAnsi" w:hAnsiTheme="minorHAnsi" w:cstheme="minorHAnsi"/>
              </w:rPr>
              <w:t>did not appear to include</w:t>
            </w:r>
            <w:r w:rsidR="00F23332" w:rsidRPr="0096553B">
              <w:rPr>
                <w:rFonts w:asciiTheme="minorHAnsi" w:hAnsiTheme="minorHAnsi" w:cstheme="minorHAnsi"/>
              </w:rPr>
              <w:t xml:space="preserve"> any information on proximity to pu</w:t>
            </w:r>
            <w:r w:rsidR="009625B2" w:rsidRPr="0096553B">
              <w:rPr>
                <w:rFonts w:asciiTheme="minorHAnsi" w:hAnsiTheme="minorHAnsi" w:cstheme="minorHAnsi"/>
              </w:rPr>
              <w:t>blic transportation routes</w:t>
            </w:r>
            <w:r w:rsidR="006316CA" w:rsidRPr="0096553B">
              <w:rPr>
                <w:rFonts w:asciiTheme="minorHAnsi" w:hAnsiTheme="minorHAnsi" w:cstheme="minorHAnsi"/>
              </w:rPr>
              <w:t xml:space="preserve"> based on random provider searches</w:t>
            </w:r>
            <w:r w:rsidR="009625B2" w:rsidRPr="0096553B">
              <w:rPr>
                <w:rFonts w:asciiTheme="minorHAnsi" w:hAnsiTheme="minorHAnsi" w:cstheme="minorHAnsi"/>
              </w:rPr>
              <w:t>;</w:t>
            </w:r>
          </w:p>
          <w:p w14:paraId="152F9716" w14:textId="20CA0ECB" w:rsidR="007F5F2B" w:rsidRPr="0096553B" w:rsidRDefault="00FE4EBD" w:rsidP="00702D5F">
            <w:pPr>
              <w:pStyle w:val="ListParagraph"/>
              <w:numPr>
                <w:ilvl w:val="0"/>
                <w:numId w:val="32"/>
              </w:numPr>
              <w:spacing w:after="0" w:line="240" w:lineRule="auto"/>
              <w:rPr>
                <w:rFonts w:asciiTheme="minorHAnsi" w:hAnsiTheme="minorHAnsi" w:cstheme="minorHAnsi"/>
              </w:rPr>
            </w:pPr>
            <w:r w:rsidRPr="0096553B">
              <w:rPr>
                <w:rFonts w:asciiTheme="minorHAnsi" w:hAnsiTheme="minorHAnsi" w:cstheme="minorHAnsi"/>
              </w:rPr>
              <w:t>Five</w:t>
            </w:r>
            <w:r w:rsidR="007F5F2B" w:rsidRPr="0096553B">
              <w:rPr>
                <w:rFonts w:asciiTheme="minorHAnsi" w:hAnsiTheme="minorHAnsi" w:cstheme="minorHAnsi"/>
              </w:rPr>
              <w:t xml:space="preserve"> directories use</w:t>
            </w:r>
            <w:r w:rsidRPr="0096553B">
              <w:rPr>
                <w:rFonts w:asciiTheme="minorHAnsi" w:hAnsiTheme="minorHAnsi" w:cstheme="minorHAnsi"/>
              </w:rPr>
              <w:t>d</w:t>
            </w:r>
            <w:r w:rsidR="007F5F2B" w:rsidRPr="0096553B">
              <w:rPr>
                <w:rFonts w:asciiTheme="minorHAnsi" w:hAnsiTheme="minorHAnsi" w:cstheme="minorHAnsi"/>
              </w:rPr>
              <w:t xml:space="preserve"> the phrase “handicap access</w:t>
            </w:r>
            <w:r w:rsidRPr="0096553B">
              <w:rPr>
                <w:rFonts w:asciiTheme="minorHAnsi" w:hAnsiTheme="minorHAnsi" w:cstheme="minorHAnsi"/>
              </w:rPr>
              <w:t>,</w:t>
            </w:r>
            <w:r w:rsidR="007F5F2B" w:rsidRPr="0096553B">
              <w:rPr>
                <w:rFonts w:asciiTheme="minorHAnsi" w:hAnsiTheme="minorHAnsi" w:cstheme="minorHAnsi"/>
              </w:rPr>
              <w:t>”</w:t>
            </w:r>
            <w:r w:rsidRPr="0096553B">
              <w:rPr>
                <w:rFonts w:asciiTheme="minorHAnsi" w:hAnsiTheme="minorHAnsi" w:cstheme="minorHAnsi"/>
              </w:rPr>
              <w:t xml:space="preserve"> “handicap accessibility,”</w:t>
            </w:r>
            <w:r w:rsidR="007F5F2B" w:rsidRPr="0096553B">
              <w:rPr>
                <w:rFonts w:asciiTheme="minorHAnsi" w:hAnsiTheme="minorHAnsi" w:cstheme="minorHAnsi"/>
              </w:rPr>
              <w:t xml:space="preserve"> “handicap</w:t>
            </w:r>
            <w:r w:rsidR="00C42EC8" w:rsidRPr="0096553B">
              <w:rPr>
                <w:rFonts w:asciiTheme="minorHAnsi" w:hAnsiTheme="minorHAnsi" w:cstheme="minorHAnsi"/>
              </w:rPr>
              <w:t>ped</w:t>
            </w:r>
            <w:r w:rsidR="007F5F2B" w:rsidRPr="0096553B">
              <w:rPr>
                <w:rFonts w:asciiTheme="minorHAnsi" w:hAnsiTheme="minorHAnsi" w:cstheme="minorHAnsi"/>
              </w:rPr>
              <w:t xml:space="preserve"> </w:t>
            </w:r>
            <w:proofErr w:type="gramStart"/>
            <w:r w:rsidR="007F5F2B" w:rsidRPr="0096553B">
              <w:rPr>
                <w:rFonts w:asciiTheme="minorHAnsi" w:hAnsiTheme="minorHAnsi" w:cstheme="minorHAnsi"/>
              </w:rPr>
              <w:t>accessible</w:t>
            </w:r>
            <w:r w:rsidRPr="0096553B">
              <w:rPr>
                <w:rFonts w:asciiTheme="minorHAnsi" w:hAnsiTheme="minorHAnsi" w:cstheme="minorHAnsi"/>
              </w:rPr>
              <w:t>,</w:t>
            </w:r>
            <w:r w:rsidR="007F5F2B" w:rsidRPr="0096553B">
              <w:rPr>
                <w:rFonts w:asciiTheme="minorHAnsi" w:hAnsiTheme="minorHAnsi" w:cstheme="minorHAnsi"/>
              </w:rPr>
              <w:t>”</w:t>
            </w:r>
            <w:r w:rsidRPr="0096553B">
              <w:rPr>
                <w:rFonts w:asciiTheme="minorHAnsi" w:hAnsiTheme="minorHAnsi" w:cstheme="minorHAnsi"/>
              </w:rPr>
              <w:t xml:space="preserve"> or “handicapped</w:t>
            </w:r>
            <w:proofErr w:type="gramEnd"/>
            <w:r w:rsidRPr="0096553B">
              <w:rPr>
                <w:rFonts w:asciiTheme="minorHAnsi" w:hAnsiTheme="minorHAnsi" w:cstheme="minorHAnsi"/>
              </w:rPr>
              <w:t xml:space="preserve"> accessibility”</w:t>
            </w:r>
            <w:r w:rsidR="007F5F2B" w:rsidRPr="0096553B">
              <w:rPr>
                <w:rFonts w:asciiTheme="minorHAnsi" w:hAnsiTheme="minorHAnsi" w:cstheme="minorHAnsi"/>
              </w:rPr>
              <w:t xml:space="preserve"> rather than the more culturally competent </w:t>
            </w:r>
            <w:r w:rsidR="00DA7E79" w:rsidRPr="0096553B">
              <w:rPr>
                <w:rFonts w:asciiTheme="minorHAnsi" w:hAnsiTheme="minorHAnsi" w:cstheme="minorHAnsi"/>
              </w:rPr>
              <w:t xml:space="preserve">phrases such as </w:t>
            </w:r>
            <w:r w:rsidR="007F5F2B" w:rsidRPr="0096553B">
              <w:rPr>
                <w:rFonts w:asciiTheme="minorHAnsi" w:hAnsiTheme="minorHAnsi" w:cstheme="minorHAnsi"/>
              </w:rPr>
              <w:t xml:space="preserve">“physical accommodations,” </w:t>
            </w:r>
            <w:r w:rsidR="007F5F2B" w:rsidRPr="0096553B">
              <w:rPr>
                <w:rFonts w:asciiTheme="minorHAnsi" w:hAnsiTheme="minorHAnsi" w:cstheme="minorHAnsi"/>
              </w:rPr>
              <w:lastRenderedPageBreak/>
              <w:t>“</w:t>
            </w:r>
            <w:r w:rsidR="00867355" w:rsidRPr="0096553B">
              <w:rPr>
                <w:rFonts w:asciiTheme="minorHAnsi" w:hAnsiTheme="minorHAnsi" w:cstheme="minorHAnsi"/>
              </w:rPr>
              <w:t xml:space="preserve">physical </w:t>
            </w:r>
            <w:r w:rsidR="007F5F2B" w:rsidRPr="0096553B">
              <w:rPr>
                <w:rFonts w:asciiTheme="minorHAnsi" w:hAnsiTheme="minorHAnsi" w:cstheme="minorHAnsi"/>
              </w:rPr>
              <w:t>accessibility,” or “accommodations for physical disabilities.”</w:t>
            </w:r>
          </w:p>
          <w:p w14:paraId="3349BB18" w14:textId="2EA89A32" w:rsidR="00F23332" w:rsidRPr="0096553B" w:rsidRDefault="0014748F" w:rsidP="00702D5F">
            <w:pPr>
              <w:pStyle w:val="ListParagraph"/>
              <w:numPr>
                <w:ilvl w:val="0"/>
                <w:numId w:val="32"/>
              </w:numPr>
              <w:spacing w:after="0" w:line="240" w:lineRule="auto"/>
              <w:rPr>
                <w:rFonts w:asciiTheme="minorHAnsi" w:hAnsiTheme="minorHAnsi" w:cstheme="minorHAnsi"/>
              </w:rPr>
            </w:pPr>
            <w:r w:rsidRPr="0096553B">
              <w:rPr>
                <w:rFonts w:asciiTheme="minorHAnsi" w:hAnsiTheme="minorHAnsi" w:cstheme="minorHAnsi"/>
              </w:rPr>
              <w:t>Five</w:t>
            </w:r>
            <w:r w:rsidR="009625B2" w:rsidRPr="0096553B">
              <w:rPr>
                <w:rFonts w:asciiTheme="minorHAnsi" w:hAnsiTheme="minorHAnsi" w:cstheme="minorHAnsi"/>
              </w:rPr>
              <w:t xml:space="preserve"> directories</w:t>
            </w:r>
            <w:r w:rsidR="0006019B" w:rsidRPr="0096553B">
              <w:rPr>
                <w:rFonts w:asciiTheme="minorHAnsi" w:hAnsiTheme="minorHAnsi" w:cstheme="minorHAnsi"/>
              </w:rPr>
              <w:t xml:space="preserve"> list when a provider voluntarily reported having a given characteristic, but did </w:t>
            </w:r>
            <w:r w:rsidR="00F23332" w:rsidRPr="0096553B">
              <w:rPr>
                <w:rFonts w:asciiTheme="minorHAnsi" w:hAnsiTheme="minorHAnsi" w:cstheme="minorHAnsi"/>
              </w:rPr>
              <w:t xml:space="preserve">not </w:t>
            </w:r>
            <w:r w:rsidR="0006019B" w:rsidRPr="0096553B">
              <w:rPr>
                <w:rFonts w:asciiTheme="minorHAnsi" w:hAnsiTheme="minorHAnsi" w:cstheme="minorHAnsi"/>
              </w:rPr>
              <w:t>list when a provider chose not to voluntarily report the information.</w:t>
            </w:r>
            <w:r w:rsidR="00D2794A" w:rsidRPr="0096553B">
              <w:rPr>
                <w:rFonts w:asciiTheme="minorHAnsi" w:hAnsiTheme="minorHAnsi" w:cstheme="minorHAnsi"/>
              </w:rPr>
              <w:t xml:space="preserve"> This omission may leave members unaware of the fact that prov</w:t>
            </w:r>
            <w:r w:rsidR="00C972DA" w:rsidRPr="0096553B">
              <w:rPr>
                <w:rFonts w:asciiTheme="minorHAnsi" w:hAnsiTheme="minorHAnsi" w:cstheme="minorHAnsi"/>
              </w:rPr>
              <w:t>iders had an opportunity to report the information, which members may wish to factor into their choice of provider.</w:t>
            </w:r>
          </w:p>
        </w:tc>
        <w:tc>
          <w:tcPr>
            <w:tcW w:w="1559" w:type="pct"/>
            <w:shd w:val="clear" w:color="auto" w:fill="D9D9D9" w:themeFill="background1" w:themeFillShade="D9"/>
          </w:tcPr>
          <w:p w14:paraId="2E9B59FE" w14:textId="77777777" w:rsidR="00F23332" w:rsidRPr="0096553B" w:rsidRDefault="00F23332" w:rsidP="00702D5F">
            <w:pPr>
              <w:rPr>
                <w:rFonts w:asciiTheme="minorHAnsi" w:hAnsiTheme="minorHAnsi" w:cs="Arial"/>
                <w:color w:val="FF0000"/>
                <w:sz w:val="22"/>
                <w:szCs w:val="22"/>
              </w:rPr>
            </w:pPr>
          </w:p>
        </w:tc>
      </w:tr>
      <w:tr w:rsidR="00F23332" w:rsidRPr="0096553B" w14:paraId="0C64AF6E" w14:textId="77777777" w:rsidTr="00F23332">
        <w:trPr>
          <w:trHeight w:val="1178"/>
          <w:jc w:val="center"/>
        </w:trPr>
        <w:tc>
          <w:tcPr>
            <w:tcW w:w="432" w:type="pct"/>
            <w:shd w:val="clear" w:color="auto" w:fill="auto"/>
          </w:tcPr>
          <w:p w14:paraId="37C3F232" w14:textId="77777777" w:rsidR="00F23332" w:rsidRPr="0096553B" w:rsidRDefault="00F23332" w:rsidP="00702D5F">
            <w:pPr>
              <w:jc w:val="center"/>
              <w:rPr>
                <w:rFonts w:asciiTheme="minorHAnsi" w:hAnsiTheme="minorHAnsi" w:cstheme="minorHAnsi"/>
                <w:sz w:val="22"/>
                <w:szCs w:val="22"/>
              </w:rPr>
            </w:pPr>
            <w:r w:rsidRPr="0096553B">
              <w:rPr>
                <w:rFonts w:asciiTheme="minorHAnsi" w:hAnsiTheme="minorHAnsi" w:cstheme="minorHAnsi"/>
                <w:sz w:val="22"/>
                <w:szCs w:val="22"/>
              </w:rPr>
              <w:lastRenderedPageBreak/>
              <w:t xml:space="preserve">12.3, </w:t>
            </w:r>
            <w:proofErr w:type="spellStart"/>
            <w:r w:rsidRPr="0096553B">
              <w:rPr>
                <w:rFonts w:asciiTheme="minorHAnsi" w:hAnsiTheme="minorHAnsi" w:cstheme="minorHAnsi"/>
                <w:sz w:val="22"/>
                <w:szCs w:val="22"/>
              </w:rPr>
              <w:t>pg</w:t>
            </w:r>
            <w:proofErr w:type="spellEnd"/>
            <w:r w:rsidRPr="0096553B">
              <w:rPr>
                <w:rFonts w:asciiTheme="minorHAnsi" w:hAnsiTheme="minorHAnsi" w:cstheme="minorHAnsi"/>
                <w:sz w:val="22"/>
                <w:szCs w:val="22"/>
              </w:rPr>
              <w:t xml:space="preserve"> 211</w:t>
            </w:r>
          </w:p>
        </w:tc>
        <w:tc>
          <w:tcPr>
            <w:tcW w:w="913" w:type="pct"/>
            <w:shd w:val="clear" w:color="auto" w:fill="auto"/>
          </w:tcPr>
          <w:p w14:paraId="732F36E9" w14:textId="16B9D12C" w:rsidR="00F23332" w:rsidRPr="0096553B" w:rsidRDefault="00F23332" w:rsidP="00702D5F">
            <w:pPr>
              <w:rPr>
                <w:rFonts w:asciiTheme="minorHAnsi" w:hAnsiTheme="minorHAnsi" w:cstheme="minorHAnsi"/>
                <w:sz w:val="22"/>
                <w:szCs w:val="22"/>
              </w:rPr>
            </w:pPr>
            <w:r w:rsidRPr="0096553B">
              <w:rPr>
                <w:rFonts w:asciiTheme="minorHAnsi" w:hAnsiTheme="minorHAnsi" w:cstheme="minorHAnsi"/>
                <w:sz w:val="22"/>
                <w:szCs w:val="22"/>
              </w:rPr>
              <w:t>“Special needs of Members that may affect access to and delivery of services (e.g., transportation needs</w:t>
            </w:r>
            <w:r w:rsidRPr="0096553B">
              <w:rPr>
                <w:rFonts w:asciiTheme="minorHAnsi" w:hAnsiTheme="minorHAnsi" w:cstheme="minorHAnsi"/>
                <w:color w:val="FF0000"/>
                <w:sz w:val="22"/>
                <w:szCs w:val="22"/>
                <w:u w:val="single"/>
              </w:rPr>
              <w:t xml:space="preserve">, physically accessible buildings and equipment, </w:t>
            </w:r>
            <w:r w:rsidR="00787B10" w:rsidRPr="0096553B">
              <w:rPr>
                <w:rFonts w:asciiTheme="minorHAnsi" w:hAnsiTheme="minorHAnsi" w:cstheme="minorHAnsi"/>
                <w:color w:val="FF0000"/>
                <w:sz w:val="22"/>
                <w:szCs w:val="22"/>
                <w:u w:val="single"/>
              </w:rPr>
              <w:t xml:space="preserve">cultural competency, </w:t>
            </w:r>
            <w:r w:rsidRPr="0096553B">
              <w:rPr>
                <w:rFonts w:asciiTheme="minorHAnsi" w:hAnsiTheme="minorHAnsi" w:cstheme="minorHAnsi"/>
                <w:color w:val="FF0000"/>
                <w:sz w:val="22"/>
                <w:szCs w:val="22"/>
                <w:u w:val="single"/>
              </w:rPr>
              <w:t>and other reasonable accommodations under the ADA such as sign language interpreter services, large print materials, or shorter waiting times</w:t>
            </w:r>
            <w:r w:rsidRPr="0096553B">
              <w:rPr>
                <w:rFonts w:asciiTheme="minorHAnsi" w:hAnsiTheme="minorHAnsi" w:cstheme="minorHAnsi"/>
                <w:sz w:val="22"/>
                <w:szCs w:val="22"/>
              </w:rPr>
              <w:t>);”</w:t>
            </w:r>
          </w:p>
        </w:tc>
        <w:tc>
          <w:tcPr>
            <w:tcW w:w="2096" w:type="pct"/>
            <w:shd w:val="clear" w:color="auto" w:fill="auto"/>
          </w:tcPr>
          <w:p w14:paraId="3D6867CE" w14:textId="22E25E06" w:rsidR="009E747B" w:rsidRPr="0096553B" w:rsidRDefault="00F23332" w:rsidP="00702D5F">
            <w:pPr>
              <w:pStyle w:val="ListParagraph"/>
              <w:spacing w:after="0" w:line="240" w:lineRule="auto"/>
              <w:ind w:left="0"/>
              <w:rPr>
                <w:rFonts w:cstheme="minorHAnsi"/>
              </w:rPr>
            </w:pPr>
            <w:r w:rsidRPr="0096553B">
              <w:rPr>
                <w:rFonts w:asciiTheme="minorHAnsi" w:hAnsiTheme="minorHAnsi" w:cstheme="minorHAnsi"/>
              </w:rPr>
              <w:t>The research literature has consistently found that inaccessible health care is a major barrier to people with disabilities receiving high-quality care.</w:t>
            </w:r>
            <w:r w:rsidR="009E747B" w:rsidRPr="0096553B">
              <w:rPr>
                <w:rFonts w:asciiTheme="minorHAnsi" w:hAnsiTheme="minorHAnsi" w:cstheme="minorHAnsi"/>
              </w:rPr>
              <w:t xml:space="preserve"> </w:t>
            </w:r>
            <w:r w:rsidR="006A62E0" w:rsidRPr="0096553B">
              <w:rPr>
                <w:rFonts w:asciiTheme="minorHAnsi" w:hAnsiTheme="minorHAnsi" w:cstheme="minorHAnsi"/>
              </w:rPr>
              <w:t xml:space="preserve">Information on the accessibility of the CCC Plus </w:t>
            </w:r>
            <w:proofErr w:type="gramStart"/>
            <w:r w:rsidR="006A62E0" w:rsidRPr="0096553B">
              <w:rPr>
                <w:rFonts w:asciiTheme="minorHAnsi" w:hAnsiTheme="minorHAnsi" w:cstheme="minorHAnsi"/>
              </w:rPr>
              <w:t>provider networks is</w:t>
            </w:r>
            <w:proofErr w:type="gramEnd"/>
            <w:r w:rsidR="006A62E0" w:rsidRPr="0096553B">
              <w:rPr>
                <w:rFonts w:asciiTheme="minorHAnsi" w:hAnsiTheme="minorHAnsi" w:cstheme="minorHAnsi"/>
              </w:rPr>
              <w:t xml:space="preserve"> currently limited, with Contractors often </w:t>
            </w:r>
            <w:r w:rsidR="007307A3" w:rsidRPr="0096553B">
              <w:rPr>
                <w:rFonts w:asciiTheme="minorHAnsi" w:hAnsiTheme="minorHAnsi" w:cstheme="minorHAnsi"/>
              </w:rPr>
              <w:t>relying on voluntary self-reporting by</w:t>
            </w:r>
            <w:r w:rsidR="006A62E0" w:rsidRPr="0096553B">
              <w:rPr>
                <w:rFonts w:asciiTheme="minorHAnsi" w:hAnsiTheme="minorHAnsi" w:cstheme="minorHAnsi"/>
              </w:rPr>
              <w:t xml:space="preserve"> providers to get accessibility information for their provider directories. </w:t>
            </w:r>
            <w:r w:rsidR="00C8178B" w:rsidRPr="0096553B">
              <w:rPr>
                <w:rFonts w:cstheme="minorHAnsi"/>
              </w:rPr>
              <w:t xml:space="preserve">Available </w:t>
            </w:r>
            <w:r w:rsidR="009E747B" w:rsidRPr="0096553B">
              <w:rPr>
                <w:rFonts w:cstheme="minorHAnsi"/>
              </w:rPr>
              <w:t>information indicates that there are few accessible providers:</w:t>
            </w:r>
          </w:p>
          <w:p w14:paraId="52210817" w14:textId="77777777" w:rsidR="009E747B" w:rsidRPr="0096553B" w:rsidRDefault="009E747B" w:rsidP="00702D5F">
            <w:pPr>
              <w:rPr>
                <w:rFonts w:asciiTheme="minorHAnsi" w:hAnsiTheme="minorHAnsi" w:cstheme="minorHAnsi"/>
                <w:sz w:val="22"/>
                <w:szCs w:val="22"/>
              </w:rPr>
            </w:pPr>
          </w:p>
          <w:p w14:paraId="78B4CE48" w14:textId="77777777" w:rsidR="009E747B" w:rsidRPr="0096553B" w:rsidRDefault="009E747B" w:rsidP="00702D5F">
            <w:pPr>
              <w:pStyle w:val="ListParagraph"/>
              <w:numPr>
                <w:ilvl w:val="0"/>
                <w:numId w:val="33"/>
              </w:numPr>
              <w:spacing w:after="0" w:line="240" w:lineRule="auto"/>
              <w:rPr>
                <w:rFonts w:cstheme="minorHAnsi"/>
              </w:rPr>
            </w:pPr>
            <w:r w:rsidRPr="0096553B">
              <w:rPr>
                <w:rFonts w:cstheme="minorHAnsi"/>
              </w:rPr>
              <w:t>One Contractor’s provider directory identified only two providers who voluntarily reported having cultural competency training, and random provider searches of two other directories failed to find any providers who voluntarily reported having cultural competency training, as of August 2018</w:t>
            </w:r>
          </w:p>
          <w:p w14:paraId="0E34F851" w14:textId="77777777" w:rsidR="00F23332" w:rsidRPr="0096553B" w:rsidRDefault="009E747B" w:rsidP="00702D5F">
            <w:pPr>
              <w:pStyle w:val="ListParagraph"/>
              <w:numPr>
                <w:ilvl w:val="0"/>
                <w:numId w:val="33"/>
              </w:numPr>
              <w:spacing w:after="0" w:line="240" w:lineRule="auto"/>
              <w:rPr>
                <w:rFonts w:cstheme="minorHAnsi"/>
              </w:rPr>
            </w:pPr>
            <w:r w:rsidRPr="0096553B">
              <w:rPr>
                <w:rFonts w:cstheme="minorHAnsi"/>
              </w:rPr>
              <w:t xml:space="preserve">Four Contractors’ provider directories identified very few providers who voluntarily reported having American Sign </w:t>
            </w:r>
            <w:r w:rsidRPr="0096553B">
              <w:rPr>
                <w:rFonts w:cstheme="minorHAnsi"/>
              </w:rPr>
              <w:lastRenderedPageBreak/>
              <w:t>Language access. One of these directories only identified 50 providers statewide, another identified 0 within 100 miles of Richmond, and two others identified fewer than 15 in the Central region</w:t>
            </w:r>
          </w:p>
          <w:p w14:paraId="198D1299" w14:textId="77777777" w:rsidR="00B304C1" w:rsidRPr="0096553B" w:rsidRDefault="00B304C1" w:rsidP="00702D5F">
            <w:pPr>
              <w:pStyle w:val="ListParagraph"/>
              <w:numPr>
                <w:ilvl w:val="0"/>
                <w:numId w:val="33"/>
              </w:numPr>
              <w:spacing w:after="0" w:line="240" w:lineRule="auto"/>
              <w:rPr>
                <w:rFonts w:cstheme="minorHAnsi"/>
              </w:rPr>
            </w:pPr>
            <w:r w:rsidRPr="0096553B">
              <w:rPr>
                <w:rFonts w:cstheme="minorHAnsi"/>
              </w:rPr>
              <w:t>Three of six Contractors’ provider directories as of August 2018, only indicate a yes/no response to whether a provider is ADA compliant overall. However, ADA compliance has many different facets such as a physically accessible building/waiting room/exam room/bathrooms/equipment and the provision of reasonable accommodations such as shorter waiting times. A provider may meet one or more of these facets, but not necessarily all of them.</w:t>
            </w:r>
          </w:p>
          <w:p w14:paraId="755A852C" w14:textId="62F772AB" w:rsidR="00F964E5" w:rsidRPr="0096553B" w:rsidRDefault="00F964E5" w:rsidP="00702D5F">
            <w:pPr>
              <w:rPr>
                <w:rFonts w:asciiTheme="minorHAnsi" w:hAnsiTheme="minorHAnsi" w:cstheme="minorHAnsi"/>
                <w:sz w:val="22"/>
                <w:szCs w:val="22"/>
              </w:rPr>
            </w:pPr>
            <w:r w:rsidRPr="0096553B">
              <w:rPr>
                <w:rFonts w:asciiTheme="minorHAnsi" w:hAnsiTheme="minorHAnsi" w:cstheme="minorHAnsi"/>
                <w:sz w:val="22"/>
                <w:szCs w:val="22"/>
              </w:rPr>
              <w:t xml:space="preserve">The reliance on providers to self-report their accessibility, and </w:t>
            </w:r>
            <w:proofErr w:type="gramStart"/>
            <w:r w:rsidRPr="0096553B">
              <w:rPr>
                <w:rFonts w:asciiTheme="minorHAnsi" w:hAnsiTheme="minorHAnsi" w:cstheme="minorHAnsi"/>
                <w:sz w:val="22"/>
                <w:szCs w:val="22"/>
              </w:rPr>
              <w:t>the few number of providers who do report</w:t>
            </w:r>
            <w:proofErr w:type="gramEnd"/>
            <w:r w:rsidRPr="0096553B">
              <w:rPr>
                <w:rFonts w:asciiTheme="minorHAnsi" w:hAnsiTheme="minorHAnsi" w:cstheme="minorHAnsi"/>
                <w:sz w:val="22"/>
                <w:szCs w:val="22"/>
              </w:rPr>
              <w:t xml:space="preserve"> being accessible, indicates that additional provider training is needed. </w:t>
            </w:r>
          </w:p>
        </w:tc>
        <w:tc>
          <w:tcPr>
            <w:tcW w:w="1559" w:type="pct"/>
            <w:shd w:val="clear" w:color="auto" w:fill="D9D9D9" w:themeFill="background1" w:themeFillShade="D9"/>
          </w:tcPr>
          <w:p w14:paraId="2CB3E4FE" w14:textId="77777777" w:rsidR="00F23332" w:rsidRPr="0096553B" w:rsidRDefault="00F23332" w:rsidP="00702D5F">
            <w:pPr>
              <w:rPr>
                <w:rFonts w:asciiTheme="minorHAnsi" w:hAnsiTheme="minorHAnsi" w:cs="Arial"/>
                <w:color w:val="FF0000"/>
                <w:sz w:val="22"/>
                <w:szCs w:val="22"/>
              </w:rPr>
            </w:pPr>
          </w:p>
        </w:tc>
      </w:tr>
      <w:tr w:rsidR="00F23332" w:rsidRPr="0096553B" w14:paraId="78A80830" w14:textId="77777777" w:rsidTr="00F23332">
        <w:trPr>
          <w:trHeight w:val="1229"/>
          <w:jc w:val="center"/>
        </w:trPr>
        <w:tc>
          <w:tcPr>
            <w:tcW w:w="432" w:type="pct"/>
            <w:shd w:val="clear" w:color="auto" w:fill="auto"/>
          </w:tcPr>
          <w:p w14:paraId="0DAAC98F" w14:textId="77777777" w:rsidR="00F23332" w:rsidRPr="0096553B" w:rsidRDefault="00F23332" w:rsidP="00702D5F">
            <w:pPr>
              <w:jc w:val="center"/>
              <w:rPr>
                <w:rFonts w:asciiTheme="minorHAnsi" w:hAnsiTheme="minorHAnsi" w:cstheme="minorHAnsi"/>
                <w:sz w:val="22"/>
                <w:szCs w:val="22"/>
              </w:rPr>
            </w:pPr>
            <w:r w:rsidRPr="0096553B">
              <w:rPr>
                <w:rFonts w:asciiTheme="minorHAnsi" w:hAnsiTheme="minorHAnsi" w:cstheme="minorHAnsi"/>
                <w:sz w:val="22"/>
                <w:szCs w:val="22"/>
              </w:rPr>
              <w:lastRenderedPageBreak/>
              <w:t>15.2</w:t>
            </w:r>
            <w:r w:rsidR="00EA3FE7" w:rsidRPr="0096553B">
              <w:rPr>
                <w:rFonts w:asciiTheme="minorHAnsi" w:hAnsiTheme="minorHAnsi" w:cstheme="minorHAnsi"/>
                <w:sz w:val="22"/>
                <w:szCs w:val="22"/>
              </w:rPr>
              <w:t xml:space="preserve">, </w:t>
            </w:r>
            <w:proofErr w:type="spellStart"/>
            <w:r w:rsidR="00EA3FE7" w:rsidRPr="0096553B">
              <w:rPr>
                <w:rFonts w:asciiTheme="minorHAnsi" w:hAnsiTheme="minorHAnsi" w:cstheme="minorHAnsi"/>
                <w:sz w:val="22"/>
                <w:szCs w:val="22"/>
              </w:rPr>
              <w:t>pg</w:t>
            </w:r>
            <w:proofErr w:type="spellEnd"/>
            <w:r w:rsidR="00EA3FE7" w:rsidRPr="0096553B">
              <w:rPr>
                <w:rFonts w:asciiTheme="minorHAnsi" w:hAnsiTheme="minorHAnsi" w:cstheme="minorHAnsi"/>
                <w:sz w:val="22"/>
                <w:szCs w:val="22"/>
              </w:rPr>
              <w:t xml:space="preserve"> 237</w:t>
            </w:r>
          </w:p>
        </w:tc>
        <w:tc>
          <w:tcPr>
            <w:tcW w:w="913" w:type="pct"/>
            <w:shd w:val="clear" w:color="auto" w:fill="auto"/>
          </w:tcPr>
          <w:p w14:paraId="6C032812" w14:textId="244E5DDF" w:rsidR="00F23332" w:rsidRPr="0096553B" w:rsidRDefault="00F23332" w:rsidP="00702D5F">
            <w:pPr>
              <w:rPr>
                <w:rFonts w:asciiTheme="minorHAnsi" w:hAnsiTheme="minorHAnsi" w:cstheme="minorHAnsi"/>
                <w:sz w:val="22"/>
                <w:szCs w:val="22"/>
              </w:rPr>
            </w:pPr>
            <w:r w:rsidRPr="0096553B">
              <w:rPr>
                <w:rFonts w:asciiTheme="minorHAnsi" w:hAnsiTheme="minorHAnsi" w:cstheme="minorHAnsi"/>
                <w:sz w:val="22"/>
                <w:szCs w:val="22"/>
              </w:rPr>
              <w:t xml:space="preserve">“In accordance with 42 CFR §438.408(c) the Contractor may extend the timeframe for processing a grievance by up to fourteen (14) calendar days if the Member requests the extension, or, with the Department’s permission, if </w:t>
            </w:r>
            <w:r w:rsidRPr="0096553B">
              <w:rPr>
                <w:rFonts w:asciiTheme="minorHAnsi" w:hAnsiTheme="minorHAnsi" w:cstheme="minorHAnsi"/>
                <w:sz w:val="22"/>
                <w:szCs w:val="22"/>
              </w:rPr>
              <w:lastRenderedPageBreak/>
              <w:t>the Contractor shows that there is a need for additional information and that the delay is in the Member’s interest.  If the Contractor extends the timeframe from a grievance not at the request of the Member, the Contractor must give the Member written notice, within two (2) calendar days, of the reason for the decision to extend the timeframe and inform the Member of their right to file a grievance if he/she disagrees with that decision.</w:t>
            </w:r>
            <w:r w:rsidR="009C762E">
              <w:rPr>
                <w:rFonts w:asciiTheme="minorHAnsi" w:hAnsiTheme="minorHAnsi" w:cstheme="minorHAnsi"/>
                <w:color w:val="FF0000"/>
                <w:sz w:val="22"/>
                <w:szCs w:val="22"/>
                <w:u w:val="single"/>
              </w:rPr>
              <w:t xml:space="preserve"> The Contractor shall</w:t>
            </w:r>
            <w:r w:rsidRPr="0096553B">
              <w:rPr>
                <w:rFonts w:asciiTheme="minorHAnsi" w:hAnsiTheme="minorHAnsi" w:cstheme="minorHAnsi"/>
                <w:color w:val="FF0000"/>
                <w:sz w:val="22"/>
                <w:szCs w:val="22"/>
                <w:u w:val="single"/>
              </w:rPr>
              <w:t xml:space="preserve"> respond to such grievances regarding extensions within 24 hours.</w:t>
            </w:r>
            <w:r w:rsidRPr="0096553B">
              <w:rPr>
                <w:rFonts w:asciiTheme="minorHAnsi" w:hAnsiTheme="minorHAnsi" w:cstheme="minorHAnsi"/>
                <w:sz w:val="22"/>
                <w:szCs w:val="22"/>
              </w:rPr>
              <w:t>”</w:t>
            </w:r>
          </w:p>
        </w:tc>
        <w:tc>
          <w:tcPr>
            <w:tcW w:w="2096" w:type="pct"/>
            <w:shd w:val="clear" w:color="auto" w:fill="auto"/>
          </w:tcPr>
          <w:p w14:paraId="5025326C" w14:textId="77777777" w:rsidR="00F23332" w:rsidRPr="0096553B" w:rsidRDefault="00F23332" w:rsidP="00702D5F">
            <w:pPr>
              <w:rPr>
                <w:rFonts w:asciiTheme="minorHAnsi" w:hAnsiTheme="minorHAnsi" w:cstheme="minorHAnsi"/>
                <w:sz w:val="22"/>
                <w:szCs w:val="22"/>
              </w:rPr>
            </w:pPr>
            <w:r w:rsidRPr="0096553B">
              <w:rPr>
                <w:rFonts w:asciiTheme="minorHAnsi" w:hAnsiTheme="minorHAnsi" w:cstheme="minorHAnsi"/>
                <w:sz w:val="22"/>
                <w:szCs w:val="22"/>
              </w:rPr>
              <w:lastRenderedPageBreak/>
              <w:t xml:space="preserve">This provision should be strengthened by specifying a timeframe for the Contractor to respond to member grievances regarding extensions. If the Contractor has the standard 30 days, then the grievance regarding the extension will not have to be considered before the decision on the original grievance is due in up to 14 days. Section 15.2 requires expedited responses within 24 hours for “each Member grievance whenever the Contractor extends the appeal timeframe” but this only references appeals, not original grievances. The provision should clarify that this expedited </w:t>
            </w:r>
            <w:r w:rsidRPr="0096553B">
              <w:rPr>
                <w:rFonts w:asciiTheme="minorHAnsi" w:hAnsiTheme="minorHAnsi" w:cstheme="minorHAnsi"/>
                <w:sz w:val="22"/>
                <w:szCs w:val="22"/>
              </w:rPr>
              <w:lastRenderedPageBreak/>
              <w:t>timeframe of 24 hours should also apply to original grievances regarding extended timelines.</w:t>
            </w:r>
          </w:p>
        </w:tc>
        <w:tc>
          <w:tcPr>
            <w:tcW w:w="1559" w:type="pct"/>
            <w:shd w:val="clear" w:color="auto" w:fill="D9D9D9" w:themeFill="background1" w:themeFillShade="D9"/>
          </w:tcPr>
          <w:p w14:paraId="3E0C4B0D" w14:textId="77777777" w:rsidR="00F23332" w:rsidRPr="0096553B" w:rsidRDefault="00F23332" w:rsidP="00702D5F">
            <w:pPr>
              <w:rPr>
                <w:rFonts w:asciiTheme="minorHAnsi" w:hAnsiTheme="minorHAnsi" w:cs="Arial"/>
                <w:color w:val="FF0000"/>
                <w:sz w:val="22"/>
                <w:szCs w:val="22"/>
                <w:highlight w:val="yellow"/>
              </w:rPr>
            </w:pPr>
          </w:p>
        </w:tc>
      </w:tr>
      <w:tr w:rsidR="00F23332" w:rsidRPr="0096553B" w14:paraId="2E9EF6BB" w14:textId="77777777" w:rsidTr="00F23332">
        <w:trPr>
          <w:trHeight w:val="1229"/>
          <w:jc w:val="center"/>
        </w:trPr>
        <w:tc>
          <w:tcPr>
            <w:tcW w:w="432" w:type="pct"/>
            <w:shd w:val="clear" w:color="auto" w:fill="auto"/>
            <w:vAlign w:val="center"/>
          </w:tcPr>
          <w:p w14:paraId="614F0ACD" w14:textId="77777777" w:rsidR="00F23332" w:rsidRPr="0096553B" w:rsidRDefault="00EA3FE7"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 xml:space="preserve">15.4, </w:t>
            </w:r>
            <w:proofErr w:type="spellStart"/>
            <w:r w:rsidRPr="0096553B">
              <w:rPr>
                <w:rFonts w:asciiTheme="minorHAnsi" w:hAnsiTheme="minorHAnsi" w:cstheme="minorHAnsi"/>
                <w:color w:val="000000"/>
                <w:sz w:val="22"/>
                <w:szCs w:val="22"/>
              </w:rPr>
              <w:t>pg</w:t>
            </w:r>
            <w:proofErr w:type="spellEnd"/>
          </w:p>
        </w:tc>
        <w:tc>
          <w:tcPr>
            <w:tcW w:w="913" w:type="pct"/>
            <w:shd w:val="clear" w:color="auto" w:fill="auto"/>
            <w:vAlign w:val="center"/>
          </w:tcPr>
          <w:p w14:paraId="305E53EF" w14:textId="77777777" w:rsidR="00F23332" w:rsidRPr="0096553B" w:rsidRDefault="00EA3FE7" w:rsidP="00FF1BB2">
            <w:pPr>
              <w:rPr>
                <w:rFonts w:asciiTheme="minorHAnsi" w:hAnsiTheme="minorHAnsi" w:cstheme="minorHAnsi"/>
                <w:color w:val="000000"/>
                <w:sz w:val="22"/>
                <w:szCs w:val="22"/>
              </w:rPr>
            </w:pPr>
            <w:r w:rsidRPr="0096553B">
              <w:rPr>
                <w:rFonts w:asciiTheme="minorHAnsi" w:hAnsiTheme="minorHAnsi" w:cstheme="minorHAnsi"/>
                <w:color w:val="000000"/>
                <w:sz w:val="22"/>
                <w:szCs w:val="22"/>
              </w:rPr>
              <w:t>“</w:t>
            </w:r>
            <w:r w:rsidRPr="0096553B">
              <w:rPr>
                <w:rFonts w:asciiTheme="minorHAnsi" w:hAnsiTheme="minorHAnsi" w:cstheme="minorHAnsi"/>
                <w:sz w:val="22"/>
                <w:szCs w:val="22"/>
              </w:rPr>
              <w:t xml:space="preserve">The Contractor may extend this timeframe by up to an additional fourteen (14) calendar days if the Member requests the extension or if the Contractor provides evidence satisfactory to the Department that there is need for additional information and that a delay in rendering the decision is in the Member’s interest.  Where the Contractor has extended the timeframe for an expedited appeal not at the request of the Member, the Contractor shall make reasonable efforts to give the enrollee </w:t>
            </w:r>
            <w:r w:rsidRPr="0096553B">
              <w:rPr>
                <w:rFonts w:asciiTheme="minorHAnsi" w:hAnsiTheme="minorHAnsi" w:cstheme="minorHAnsi"/>
                <w:strike/>
                <w:color w:val="FF0000"/>
                <w:sz w:val="22"/>
                <w:szCs w:val="22"/>
              </w:rPr>
              <w:t xml:space="preserve">prompt </w:t>
            </w:r>
            <w:r w:rsidRPr="0096553B">
              <w:rPr>
                <w:rFonts w:asciiTheme="minorHAnsi" w:hAnsiTheme="minorHAnsi" w:cstheme="minorHAnsi"/>
                <w:sz w:val="22"/>
                <w:szCs w:val="22"/>
              </w:rPr>
              <w:t xml:space="preserve">oral notice </w:t>
            </w:r>
            <w:r w:rsidR="00BE18BE" w:rsidRPr="0096553B">
              <w:rPr>
                <w:rFonts w:asciiTheme="minorHAnsi" w:hAnsiTheme="minorHAnsi" w:cstheme="minorHAnsi"/>
                <w:color w:val="FF0000"/>
                <w:sz w:val="22"/>
                <w:szCs w:val="22"/>
                <w:u w:val="single"/>
              </w:rPr>
              <w:t xml:space="preserve">within 24 hours </w:t>
            </w:r>
            <w:r w:rsidRPr="0096553B">
              <w:rPr>
                <w:rFonts w:asciiTheme="minorHAnsi" w:hAnsiTheme="minorHAnsi" w:cstheme="minorHAnsi"/>
                <w:sz w:val="22"/>
                <w:szCs w:val="22"/>
              </w:rPr>
              <w:t>of the delay.”</w:t>
            </w:r>
          </w:p>
        </w:tc>
        <w:tc>
          <w:tcPr>
            <w:tcW w:w="2096" w:type="pct"/>
            <w:shd w:val="clear" w:color="auto" w:fill="auto"/>
            <w:vAlign w:val="center"/>
          </w:tcPr>
          <w:p w14:paraId="2DC6BC29" w14:textId="77777777" w:rsidR="00F23332" w:rsidRPr="0096553B" w:rsidRDefault="00CF0141" w:rsidP="00702D5F">
            <w:pPr>
              <w:rPr>
                <w:rFonts w:asciiTheme="minorHAnsi" w:hAnsiTheme="minorHAnsi" w:cstheme="minorHAnsi"/>
                <w:sz w:val="22"/>
                <w:szCs w:val="22"/>
              </w:rPr>
            </w:pPr>
            <w:r w:rsidRPr="0096553B">
              <w:rPr>
                <w:rFonts w:asciiTheme="minorHAnsi" w:hAnsiTheme="minorHAnsi" w:cstheme="minorHAnsi"/>
                <w:sz w:val="22"/>
                <w:szCs w:val="22"/>
              </w:rPr>
              <w:t>This provision should be strengthened by defining “prompt.” Section 15.2 requires expedited responses within 24 hours for “each Member grievance whenever the Contractor extends the appeal timeframe</w:t>
            </w:r>
            <w:r w:rsidR="00BE18BE" w:rsidRPr="0096553B">
              <w:rPr>
                <w:rFonts w:asciiTheme="minorHAnsi" w:hAnsiTheme="minorHAnsi" w:cstheme="minorHAnsi"/>
                <w:sz w:val="22"/>
                <w:szCs w:val="22"/>
              </w:rPr>
              <w:t>.” This 24-hour response should also apply to Section 15.4.</w:t>
            </w:r>
          </w:p>
        </w:tc>
        <w:tc>
          <w:tcPr>
            <w:tcW w:w="1559" w:type="pct"/>
            <w:shd w:val="clear" w:color="auto" w:fill="D9D9D9" w:themeFill="background1" w:themeFillShade="D9"/>
          </w:tcPr>
          <w:p w14:paraId="3C2D3D8C" w14:textId="77777777" w:rsidR="00F23332" w:rsidRPr="0096553B" w:rsidRDefault="00F23332" w:rsidP="00702D5F">
            <w:pPr>
              <w:rPr>
                <w:rFonts w:asciiTheme="minorHAnsi" w:hAnsiTheme="minorHAnsi" w:cs="Arial"/>
                <w:color w:val="FF0000"/>
                <w:sz w:val="22"/>
                <w:szCs w:val="22"/>
                <w:highlight w:val="yellow"/>
              </w:rPr>
            </w:pPr>
          </w:p>
        </w:tc>
      </w:tr>
      <w:tr w:rsidR="003E40B5" w:rsidRPr="0096553B" w14:paraId="5E5FF96B" w14:textId="77777777" w:rsidTr="00F23332">
        <w:trPr>
          <w:trHeight w:val="1229"/>
          <w:jc w:val="center"/>
        </w:trPr>
        <w:tc>
          <w:tcPr>
            <w:tcW w:w="432" w:type="pct"/>
            <w:shd w:val="clear" w:color="auto" w:fill="auto"/>
            <w:vAlign w:val="center"/>
          </w:tcPr>
          <w:p w14:paraId="236C39BB" w14:textId="77777777" w:rsidR="003E40B5" w:rsidRPr="0096553B" w:rsidRDefault="003E40B5"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 xml:space="preserve">18.0,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271-83</w:t>
            </w:r>
          </w:p>
        </w:tc>
        <w:tc>
          <w:tcPr>
            <w:tcW w:w="913" w:type="pct"/>
            <w:shd w:val="clear" w:color="auto" w:fill="auto"/>
            <w:vAlign w:val="center"/>
          </w:tcPr>
          <w:p w14:paraId="09EF6D97" w14:textId="77777777" w:rsidR="003E40B5" w:rsidRPr="0096553B" w:rsidRDefault="003E40B5" w:rsidP="00015361">
            <w:pPr>
              <w:rPr>
                <w:rFonts w:asciiTheme="minorHAnsi" w:hAnsiTheme="minorHAnsi" w:cstheme="minorHAnsi"/>
                <w:color w:val="000000"/>
                <w:sz w:val="22"/>
                <w:szCs w:val="22"/>
              </w:rPr>
            </w:pPr>
            <w:r w:rsidRPr="0096553B">
              <w:rPr>
                <w:rFonts w:asciiTheme="minorHAnsi" w:hAnsiTheme="minorHAnsi" w:cstheme="minorHAnsi"/>
                <w:sz w:val="22"/>
                <w:szCs w:val="22"/>
              </w:rPr>
              <w:t>This section repeatedly says the Department “may” assess compliance points “at its discretion” if the Contractor violates certain requirements, unless the Contractor (</w:t>
            </w:r>
            <w:proofErr w:type="spellStart"/>
            <w:r w:rsidRPr="0096553B">
              <w:rPr>
                <w:rFonts w:asciiTheme="minorHAnsi" w:hAnsiTheme="minorHAnsi" w:cstheme="minorHAnsi"/>
                <w:sz w:val="22"/>
                <w:szCs w:val="22"/>
              </w:rPr>
              <w:t>i</w:t>
            </w:r>
            <w:proofErr w:type="spellEnd"/>
            <w:r w:rsidRPr="0096553B">
              <w:rPr>
                <w:rFonts w:asciiTheme="minorHAnsi" w:hAnsiTheme="minorHAnsi" w:cstheme="minorHAnsi"/>
                <w:sz w:val="22"/>
                <w:szCs w:val="22"/>
              </w:rPr>
              <w:t>) “provided sufficient notification or education to providers of applicable program requirements,” or (ii) “took immediate and appropriate action to correct the problem and to ensure that it will not recur.”</w:t>
            </w:r>
          </w:p>
        </w:tc>
        <w:tc>
          <w:tcPr>
            <w:tcW w:w="2096" w:type="pct"/>
            <w:shd w:val="clear" w:color="auto" w:fill="auto"/>
            <w:vAlign w:val="center"/>
          </w:tcPr>
          <w:p w14:paraId="414BE53D" w14:textId="77777777" w:rsidR="003E40B5" w:rsidRPr="0096553B" w:rsidRDefault="007764AC" w:rsidP="00702D5F">
            <w:pPr>
              <w:rPr>
                <w:rFonts w:asciiTheme="minorHAnsi" w:hAnsiTheme="minorHAnsi" w:cstheme="minorHAnsi"/>
                <w:sz w:val="22"/>
                <w:szCs w:val="22"/>
              </w:rPr>
            </w:pPr>
            <w:r w:rsidRPr="0096553B">
              <w:rPr>
                <w:rFonts w:asciiTheme="minorHAnsi" w:hAnsiTheme="minorHAnsi" w:cstheme="minorHAnsi"/>
                <w:sz w:val="22"/>
                <w:szCs w:val="22"/>
              </w:rPr>
              <w:t xml:space="preserve">VBPD urges the Department to replace each instance of “may” with “shall.” </w:t>
            </w:r>
            <w:r w:rsidR="00E63580" w:rsidRPr="0096553B">
              <w:rPr>
                <w:rFonts w:asciiTheme="minorHAnsi" w:hAnsiTheme="minorHAnsi" w:cstheme="minorHAnsi"/>
                <w:sz w:val="22"/>
                <w:szCs w:val="22"/>
              </w:rPr>
              <w:t xml:space="preserve">This change would </w:t>
            </w:r>
            <w:r w:rsidR="0012738E" w:rsidRPr="0096553B">
              <w:rPr>
                <w:rFonts w:asciiTheme="minorHAnsi" w:hAnsiTheme="minorHAnsi" w:cstheme="minorHAnsi"/>
                <w:sz w:val="22"/>
                <w:szCs w:val="22"/>
              </w:rPr>
              <w:t xml:space="preserve">substantially </w:t>
            </w:r>
            <w:r w:rsidR="00E63580" w:rsidRPr="0096553B">
              <w:rPr>
                <w:rFonts w:asciiTheme="minorHAnsi" w:hAnsiTheme="minorHAnsi" w:cstheme="minorHAnsi"/>
                <w:sz w:val="22"/>
                <w:szCs w:val="22"/>
              </w:rPr>
              <w:t xml:space="preserve">improve the Department’s ability to effectively oversee the Contractors and enforce compliance with program requirements. </w:t>
            </w:r>
            <w:r w:rsidRPr="0096553B">
              <w:rPr>
                <w:rFonts w:asciiTheme="minorHAnsi" w:hAnsiTheme="minorHAnsi" w:cstheme="minorHAnsi"/>
                <w:sz w:val="22"/>
                <w:szCs w:val="22"/>
              </w:rPr>
              <w:t xml:space="preserve">This change aligns with Recommendations 21 and 22 in the Joint Legislative Audit and Review Commission’s December 2016 report, </w:t>
            </w:r>
            <w:r w:rsidRPr="0096553B">
              <w:rPr>
                <w:rFonts w:asciiTheme="minorHAnsi" w:hAnsiTheme="minorHAnsi" w:cstheme="minorHAnsi"/>
                <w:i/>
                <w:iCs/>
                <w:sz w:val="22"/>
                <w:szCs w:val="22"/>
              </w:rPr>
              <w:t>Managing Spending in Virginia’s Medicaid Program</w:t>
            </w:r>
            <w:r w:rsidRPr="0096553B">
              <w:rPr>
                <w:rFonts w:asciiTheme="minorHAnsi" w:hAnsiTheme="minorHAnsi" w:cstheme="minorHAnsi"/>
                <w:iCs/>
                <w:sz w:val="22"/>
                <w:szCs w:val="22"/>
              </w:rPr>
              <w:t>.</w:t>
            </w:r>
          </w:p>
        </w:tc>
        <w:tc>
          <w:tcPr>
            <w:tcW w:w="1559" w:type="pct"/>
            <w:shd w:val="clear" w:color="auto" w:fill="D9D9D9" w:themeFill="background1" w:themeFillShade="D9"/>
          </w:tcPr>
          <w:p w14:paraId="17A63585" w14:textId="77777777" w:rsidR="003E40B5" w:rsidRPr="0096553B" w:rsidRDefault="003E40B5" w:rsidP="00702D5F">
            <w:pPr>
              <w:rPr>
                <w:rFonts w:asciiTheme="minorHAnsi" w:hAnsiTheme="minorHAnsi" w:cs="Arial"/>
                <w:color w:val="FF0000"/>
                <w:sz w:val="22"/>
                <w:szCs w:val="22"/>
                <w:highlight w:val="yellow"/>
              </w:rPr>
            </w:pPr>
          </w:p>
        </w:tc>
      </w:tr>
      <w:tr w:rsidR="006A6C7E" w:rsidRPr="0096553B" w14:paraId="363CF257" w14:textId="77777777" w:rsidTr="00F23332">
        <w:trPr>
          <w:trHeight w:val="1229"/>
          <w:jc w:val="center"/>
        </w:trPr>
        <w:tc>
          <w:tcPr>
            <w:tcW w:w="432" w:type="pct"/>
            <w:shd w:val="clear" w:color="auto" w:fill="auto"/>
            <w:vAlign w:val="center"/>
          </w:tcPr>
          <w:p w14:paraId="04D714EF" w14:textId="5A35842E" w:rsidR="006A6C7E" w:rsidRPr="0096553B" w:rsidRDefault="006A6C7E" w:rsidP="00702D5F">
            <w:pPr>
              <w:jc w:val="center"/>
              <w:rPr>
                <w:rFonts w:asciiTheme="minorHAnsi" w:hAnsiTheme="minorHAnsi" w:cstheme="minorHAnsi"/>
                <w:color w:val="000000"/>
                <w:sz w:val="22"/>
                <w:szCs w:val="22"/>
              </w:rPr>
            </w:pPr>
            <w:r>
              <w:rPr>
                <w:rFonts w:asciiTheme="minorHAnsi" w:hAnsiTheme="minorHAnsi" w:cstheme="minorHAnsi"/>
                <w:color w:val="000000"/>
                <w:sz w:val="22"/>
                <w:szCs w:val="22"/>
              </w:rPr>
              <w:t>18.2.3</w:t>
            </w:r>
            <w:r w:rsidR="00A94594">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pg</w:t>
            </w:r>
            <w:proofErr w:type="spellEnd"/>
            <w:r>
              <w:rPr>
                <w:rFonts w:asciiTheme="minorHAnsi" w:hAnsiTheme="minorHAnsi" w:cstheme="minorHAnsi"/>
                <w:color w:val="000000"/>
                <w:sz w:val="22"/>
                <w:szCs w:val="22"/>
              </w:rPr>
              <w:t xml:space="preserve"> 27</w:t>
            </w:r>
            <w:r w:rsidR="00A94594">
              <w:rPr>
                <w:rFonts w:asciiTheme="minorHAnsi" w:hAnsiTheme="minorHAnsi" w:cstheme="minorHAnsi"/>
                <w:color w:val="000000"/>
                <w:sz w:val="22"/>
                <w:szCs w:val="22"/>
              </w:rPr>
              <w:t>4</w:t>
            </w:r>
          </w:p>
        </w:tc>
        <w:tc>
          <w:tcPr>
            <w:tcW w:w="913" w:type="pct"/>
            <w:shd w:val="clear" w:color="auto" w:fill="auto"/>
            <w:vAlign w:val="center"/>
          </w:tcPr>
          <w:p w14:paraId="4A4ABE69" w14:textId="16C1DEEE" w:rsidR="006A6C7E" w:rsidRPr="00035882" w:rsidRDefault="00035882" w:rsidP="00536E0E">
            <w:pPr>
              <w:rPr>
                <w:rFonts w:asciiTheme="minorHAnsi" w:hAnsiTheme="minorHAnsi" w:cstheme="minorHAnsi"/>
                <w:sz w:val="22"/>
                <w:szCs w:val="22"/>
              </w:rPr>
            </w:pPr>
            <w:r w:rsidRPr="00035882">
              <w:rPr>
                <w:rFonts w:asciiTheme="minorHAnsi" w:hAnsiTheme="minorHAnsi" w:cstheme="minorHAnsi"/>
                <w:sz w:val="22"/>
                <w:szCs w:val="22"/>
              </w:rPr>
              <w:t>“Examples of ten (10) point violations include, but are not limited to, the following:</w:t>
            </w:r>
            <w:r w:rsidR="00015361">
              <w:rPr>
                <w:rFonts w:asciiTheme="minorHAnsi" w:hAnsiTheme="minorHAnsi" w:cstheme="minorHAnsi"/>
                <w:sz w:val="22"/>
                <w:szCs w:val="22"/>
              </w:rPr>
              <w:t xml:space="preserve"> </w:t>
            </w:r>
            <w:r w:rsidRPr="00035882">
              <w:rPr>
                <w:rFonts w:asciiTheme="minorHAnsi" w:hAnsiTheme="minorHAnsi" w:cstheme="minorHAnsi"/>
                <w:sz w:val="22"/>
                <w:szCs w:val="22"/>
              </w:rPr>
              <w:t>…</w:t>
            </w:r>
            <w:r>
              <w:rPr>
                <w:rFonts w:asciiTheme="minorHAnsi" w:hAnsiTheme="minorHAnsi" w:cstheme="minorHAnsi"/>
                <w:sz w:val="22"/>
                <w:szCs w:val="22"/>
              </w:rPr>
              <w:t xml:space="preserve">2. </w:t>
            </w:r>
            <w:r w:rsidRPr="00035882">
              <w:rPr>
                <w:rFonts w:asciiTheme="minorHAnsi" w:hAnsiTheme="minorHAnsi" w:cstheme="minorHAnsi"/>
                <w:sz w:val="22"/>
                <w:szCs w:val="22"/>
              </w:rPr>
              <w:t>Failure to assist a Member in accessing needed services in a timely manner after receiving a request from the Member</w:t>
            </w:r>
            <w:r w:rsidRPr="003212E3">
              <w:rPr>
                <w:rFonts w:asciiTheme="minorHAnsi" w:hAnsiTheme="minorHAnsi" w:cstheme="minorHAnsi"/>
                <w:color w:val="FF0000"/>
                <w:sz w:val="22"/>
                <w:szCs w:val="22"/>
                <w:u w:val="single"/>
              </w:rPr>
              <w:t xml:space="preserve">. This includes the failure to provide </w:t>
            </w:r>
            <w:r w:rsidRPr="003212E3">
              <w:rPr>
                <w:rFonts w:asciiTheme="minorHAnsi" w:hAnsiTheme="minorHAnsi" w:cstheme="minorHAnsi"/>
                <w:color w:val="FF0000"/>
                <w:sz w:val="22"/>
                <w:szCs w:val="22"/>
                <w:u w:val="single"/>
              </w:rPr>
              <w:lastRenderedPageBreak/>
              <w:t>transportation to critical appointments</w:t>
            </w:r>
            <w:r w:rsidR="00BB0F41">
              <w:rPr>
                <w:rFonts w:asciiTheme="minorHAnsi" w:hAnsiTheme="minorHAnsi" w:cstheme="minorHAnsi"/>
                <w:color w:val="FF0000"/>
                <w:sz w:val="22"/>
                <w:szCs w:val="22"/>
                <w:u w:val="single"/>
              </w:rPr>
              <w:t>, resulting in</w:t>
            </w:r>
            <w:r w:rsidRPr="003212E3">
              <w:rPr>
                <w:rFonts w:asciiTheme="minorHAnsi" w:hAnsiTheme="minorHAnsi" w:cstheme="minorHAnsi"/>
                <w:color w:val="FF0000"/>
                <w:sz w:val="22"/>
                <w:szCs w:val="22"/>
                <w:u w:val="single"/>
              </w:rPr>
              <w:t xml:space="preserve"> </w:t>
            </w:r>
            <w:r w:rsidR="00BB0F41">
              <w:rPr>
                <w:rFonts w:asciiTheme="minorHAnsi" w:hAnsiTheme="minorHAnsi" w:cstheme="minorHAnsi"/>
                <w:color w:val="FF0000"/>
                <w:sz w:val="22"/>
                <w:szCs w:val="22"/>
                <w:u w:val="single"/>
              </w:rPr>
              <w:t xml:space="preserve">one or more </w:t>
            </w:r>
            <w:r w:rsidRPr="003212E3">
              <w:rPr>
                <w:rFonts w:asciiTheme="minorHAnsi" w:hAnsiTheme="minorHAnsi" w:cstheme="minorHAnsi"/>
                <w:color w:val="FF0000"/>
                <w:sz w:val="22"/>
                <w:szCs w:val="22"/>
                <w:u w:val="single"/>
              </w:rPr>
              <w:t>individual</w:t>
            </w:r>
            <w:r w:rsidR="00BB0F41">
              <w:rPr>
                <w:rFonts w:asciiTheme="minorHAnsi" w:hAnsiTheme="minorHAnsi" w:cstheme="minorHAnsi"/>
                <w:color w:val="FF0000"/>
                <w:sz w:val="22"/>
                <w:szCs w:val="22"/>
                <w:u w:val="single"/>
              </w:rPr>
              <w:t>s</w:t>
            </w:r>
            <w:r w:rsidRPr="003212E3">
              <w:rPr>
                <w:rFonts w:asciiTheme="minorHAnsi" w:hAnsiTheme="minorHAnsi" w:cstheme="minorHAnsi"/>
                <w:color w:val="FF0000"/>
                <w:sz w:val="22"/>
                <w:szCs w:val="22"/>
                <w:u w:val="single"/>
              </w:rPr>
              <w:t xml:space="preserve"> </w:t>
            </w:r>
            <w:r w:rsidR="00BB0F41">
              <w:rPr>
                <w:rFonts w:asciiTheme="minorHAnsi" w:hAnsiTheme="minorHAnsi" w:cstheme="minorHAnsi"/>
                <w:color w:val="FF0000"/>
                <w:sz w:val="22"/>
                <w:szCs w:val="22"/>
                <w:u w:val="single"/>
              </w:rPr>
              <w:t>missing an</w:t>
            </w:r>
            <w:r w:rsidRPr="003212E3">
              <w:rPr>
                <w:rFonts w:asciiTheme="minorHAnsi" w:hAnsiTheme="minorHAnsi" w:cstheme="minorHAnsi"/>
                <w:color w:val="FF0000"/>
                <w:sz w:val="22"/>
                <w:szCs w:val="22"/>
                <w:u w:val="single"/>
              </w:rPr>
              <w:t xml:space="preserve"> appointment, and the failure to provide safe transportation to individuals such as</w:t>
            </w:r>
            <w:r w:rsidR="00FC488A">
              <w:rPr>
                <w:rFonts w:asciiTheme="minorHAnsi" w:hAnsiTheme="minorHAnsi" w:cstheme="minorHAnsi"/>
                <w:color w:val="FF0000"/>
                <w:sz w:val="22"/>
                <w:szCs w:val="22"/>
                <w:u w:val="single"/>
              </w:rPr>
              <w:t xml:space="preserve"> dropping</w:t>
            </w:r>
            <w:r w:rsidRPr="003212E3">
              <w:rPr>
                <w:rFonts w:asciiTheme="minorHAnsi" w:hAnsiTheme="minorHAnsi" w:cstheme="minorHAnsi"/>
                <w:color w:val="FF0000"/>
                <w:sz w:val="22"/>
                <w:szCs w:val="22"/>
                <w:u w:val="single"/>
              </w:rPr>
              <w:t xml:space="preserve"> individual</w:t>
            </w:r>
            <w:r w:rsidR="00FC488A">
              <w:rPr>
                <w:rFonts w:asciiTheme="minorHAnsi" w:hAnsiTheme="minorHAnsi" w:cstheme="minorHAnsi"/>
                <w:color w:val="FF0000"/>
                <w:sz w:val="22"/>
                <w:szCs w:val="22"/>
                <w:u w:val="single"/>
              </w:rPr>
              <w:t xml:space="preserve">s </w:t>
            </w:r>
            <w:r w:rsidRPr="003212E3">
              <w:rPr>
                <w:rFonts w:asciiTheme="minorHAnsi" w:hAnsiTheme="minorHAnsi" w:cstheme="minorHAnsi"/>
                <w:color w:val="FF0000"/>
                <w:sz w:val="22"/>
                <w:szCs w:val="22"/>
                <w:u w:val="single"/>
              </w:rPr>
              <w:t xml:space="preserve">off at the wrong </w:t>
            </w:r>
            <w:r w:rsidR="003212E3" w:rsidRPr="003212E3">
              <w:rPr>
                <w:rFonts w:asciiTheme="minorHAnsi" w:hAnsiTheme="minorHAnsi" w:cstheme="minorHAnsi"/>
                <w:color w:val="FF0000"/>
                <w:sz w:val="22"/>
                <w:szCs w:val="22"/>
                <w:u w:val="single"/>
              </w:rPr>
              <w:t>locatio</w:t>
            </w:r>
            <w:r w:rsidRPr="003212E3">
              <w:rPr>
                <w:rFonts w:asciiTheme="minorHAnsi" w:hAnsiTheme="minorHAnsi" w:cstheme="minorHAnsi"/>
                <w:color w:val="FF0000"/>
                <w:sz w:val="22"/>
                <w:szCs w:val="22"/>
                <w:u w:val="single"/>
              </w:rPr>
              <w:t>n</w:t>
            </w:r>
            <w:r w:rsidR="003212E3" w:rsidRPr="003212E3">
              <w:rPr>
                <w:rFonts w:asciiTheme="minorHAnsi" w:hAnsiTheme="minorHAnsi" w:cstheme="minorHAnsi"/>
                <w:color w:val="FF0000"/>
                <w:sz w:val="22"/>
                <w:szCs w:val="22"/>
                <w:u w:val="single"/>
              </w:rPr>
              <w:t xml:space="preserve"> or the failure to provide an accessible </w:t>
            </w:r>
            <w:r w:rsidR="00536E0E">
              <w:rPr>
                <w:rFonts w:asciiTheme="minorHAnsi" w:hAnsiTheme="minorHAnsi" w:cstheme="minorHAnsi"/>
                <w:color w:val="FF0000"/>
                <w:sz w:val="22"/>
                <w:szCs w:val="22"/>
                <w:u w:val="single"/>
              </w:rPr>
              <w:t>vehicle</w:t>
            </w:r>
            <w:r w:rsidR="003212E3" w:rsidRPr="003212E3">
              <w:rPr>
                <w:rFonts w:asciiTheme="minorHAnsi" w:hAnsiTheme="minorHAnsi" w:cstheme="minorHAnsi"/>
                <w:color w:val="FF0000"/>
                <w:sz w:val="22"/>
                <w:szCs w:val="22"/>
                <w:u w:val="single"/>
              </w:rPr>
              <w:t xml:space="preserve"> to an individual with a disability</w:t>
            </w:r>
            <w:r w:rsidRPr="00035882">
              <w:rPr>
                <w:rFonts w:asciiTheme="minorHAnsi" w:hAnsiTheme="minorHAnsi" w:cstheme="minorHAnsi"/>
                <w:sz w:val="22"/>
                <w:szCs w:val="22"/>
              </w:rPr>
              <w:t>.”</w:t>
            </w:r>
          </w:p>
        </w:tc>
        <w:tc>
          <w:tcPr>
            <w:tcW w:w="2096" w:type="pct"/>
            <w:shd w:val="clear" w:color="auto" w:fill="auto"/>
            <w:vAlign w:val="center"/>
          </w:tcPr>
          <w:p w14:paraId="307794B7" w14:textId="618E78D8" w:rsidR="006A6C7E" w:rsidRPr="0096553B" w:rsidRDefault="006A6C7E" w:rsidP="00536E0E">
            <w:pPr>
              <w:rPr>
                <w:rFonts w:asciiTheme="minorHAnsi" w:hAnsiTheme="minorHAnsi" w:cstheme="minorHAnsi"/>
                <w:sz w:val="22"/>
                <w:szCs w:val="22"/>
              </w:rPr>
            </w:pPr>
            <w:r>
              <w:rPr>
                <w:rFonts w:asciiTheme="minorHAnsi" w:hAnsiTheme="minorHAnsi" w:cstheme="minorHAnsi"/>
                <w:sz w:val="22"/>
                <w:szCs w:val="22"/>
              </w:rPr>
              <w:lastRenderedPageBreak/>
              <w:t>VBPD was pleased to see consideration of specific liquidated damages for NEMT non-compliance in last year’s contract revision process (in a proposed new section 4.10</w:t>
            </w:r>
            <w:r w:rsidR="008A6FA2">
              <w:rPr>
                <w:rFonts w:asciiTheme="minorHAnsi" w:hAnsiTheme="minorHAnsi" w:cstheme="minorHAnsi"/>
                <w:sz w:val="22"/>
                <w:szCs w:val="22"/>
              </w:rPr>
              <w:t>.22) and urges the Department this year to incorporat</w:t>
            </w:r>
            <w:r w:rsidR="00536E0E">
              <w:rPr>
                <w:rFonts w:asciiTheme="minorHAnsi" w:hAnsiTheme="minorHAnsi" w:cstheme="minorHAnsi"/>
                <w:sz w:val="22"/>
                <w:szCs w:val="22"/>
              </w:rPr>
              <w:t>e</w:t>
            </w:r>
            <w:r w:rsidR="008A6FA2">
              <w:rPr>
                <w:rFonts w:asciiTheme="minorHAnsi" w:hAnsiTheme="minorHAnsi" w:cstheme="minorHAnsi"/>
                <w:sz w:val="22"/>
                <w:szCs w:val="22"/>
              </w:rPr>
              <w:t xml:space="preserve"> NEMT non-compliance into the already existing Compliance Monitoring Process.</w:t>
            </w:r>
            <w:r w:rsidR="00A8791E">
              <w:rPr>
                <w:rFonts w:asciiTheme="minorHAnsi" w:hAnsiTheme="minorHAnsi" w:cstheme="minorHAnsi"/>
                <w:sz w:val="22"/>
                <w:szCs w:val="22"/>
              </w:rPr>
              <w:t xml:space="preserve"> While the Compliance Monitoring Process does not appear to explicitly exclude transportation compliance issues, neither does it explicitly include transportation compliance issues.</w:t>
            </w:r>
          </w:p>
        </w:tc>
        <w:tc>
          <w:tcPr>
            <w:tcW w:w="1559" w:type="pct"/>
            <w:shd w:val="clear" w:color="auto" w:fill="D9D9D9" w:themeFill="background1" w:themeFillShade="D9"/>
          </w:tcPr>
          <w:p w14:paraId="769110C3" w14:textId="77777777" w:rsidR="006A6C7E" w:rsidRPr="0096553B" w:rsidRDefault="006A6C7E" w:rsidP="00702D5F">
            <w:pPr>
              <w:rPr>
                <w:rFonts w:asciiTheme="minorHAnsi" w:hAnsiTheme="minorHAnsi" w:cs="Arial"/>
                <w:color w:val="FF0000"/>
                <w:sz w:val="22"/>
                <w:szCs w:val="22"/>
                <w:highlight w:val="yellow"/>
              </w:rPr>
            </w:pPr>
          </w:p>
        </w:tc>
      </w:tr>
      <w:tr w:rsidR="00CD36DE" w:rsidRPr="0096553B" w14:paraId="4050AC80" w14:textId="77777777" w:rsidTr="00F23332">
        <w:trPr>
          <w:trHeight w:val="1229"/>
          <w:jc w:val="center"/>
        </w:trPr>
        <w:tc>
          <w:tcPr>
            <w:tcW w:w="432" w:type="pct"/>
            <w:shd w:val="clear" w:color="auto" w:fill="auto"/>
            <w:vAlign w:val="center"/>
          </w:tcPr>
          <w:p w14:paraId="22F0705D" w14:textId="77777777" w:rsidR="00CD36DE" w:rsidRPr="0096553B" w:rsidRDefault="00CD36DE"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lastRenderedPageBreak/>
              <w:t xml:space="preserve">18.3.1,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274</w:t>
            </w:r>
          </w:p>
        </w:tc>
        <w:tc>
          <w:tcPr>
            <w:tcW w:w="913" w:type="pct"/>
            <w:shd w:val="clear" w:color="auto" w:fill="auto"/>
            <w:vAlign w:val="center"/>
          </w:tcPr>
          <w:p w14:paraId="7D13683D" w14:textId="77777777" w:rsidR="00CD36DE" w:rsidRPr="0096553B" w:rsidRDefault="00CD36DE" w:rsidP="00015361">
            <w:pPr>
              <w:rPr>
                <w:rFonts w:asciiTheme="minorHAnsi" w:hAnsiTheme="minorHAnsi" w:cstheme="minorHAnsi"/>
                <w:sz w:val="22"/>
                <w:szCs w:val="22"/>
              </w:rPr>
            </w:pPr>
            <w:r w:rsidRPr="0096553B">
              <w:rPr>
                <w:rFonts w:asciiTheme="minorHAnsi" w:hAnsiTheme="minorHAnsi" w:cstheme="minorHAnsi"/>
                <w:sz w:val="22"/>
                <w:szCs w:val="22"/>
              </w:rPr>
              <w:t>“The Department may assess sanctions (e.g. CAPs, points, freeze enrollment, impose fines) if: (1) the Contractor violates any provider network requirements…”</w:t>
            </w:r>
          </w:p>
        </w:tc>
        <w:tc>
          <w:tcPr>
            <w:tcW w:w="2096" w:type="pct"/>
            <w:shd w:val="clear" w:color="auto" w:fill="auto"/>
            <w:vAlign w:val="center"/>
          </w:tcPr>
          <w:p w14:paraId="6C92DECC" w14:textId="10776FC6" w:rsidR="00CD36DE" w:rsidRPr="0096553B" w:rsidRDefault="0021376E" w:rsidP="00702D5F">
            <w:pPr>
              <w:rPr>
                <w:rFonts w:asciiTheme="minorHAnsi" w:hAnsiTheme="minorHAnsi" w:cstheme="minorHAnsi"/>
                <w:sz w:val="22"/>
                <w:szCs w:val="22"/>
              </w:rPr>
            </w:pPr>
            <w:r w:rsidRPr="0096553B">
              <w:rPr>
                <w:rFonts w:asciiTheme="minorHAnsi" w:hAnsiTheme="minorHAnsi" w:cstheme="minorHAnsi"/>
                <w:sz w:val="22"/>
                <w:szCs w:val="22"/>
              </w:rPr>
              <w:t>This provision should be strengthened by clarify</w:t>
            </w:r>
            <w:r w:rsidR="00C80EC9" w:rsidRPr="0096553B">
              <w:rPr>
                <w:rFonts w:asciiTheme="minorHAnsi" w:hAnsiTheme="minorHAnsi" w:cstheme="minorHAnsi"/>
                <w:sz w:val="22"/>
                <w:szCs w:val="22"/>
              </w:rPr>
              <w:t>ing</w:t>
            </w:r>
            <w:r w:rsidRPr="0096553B">
              <w:rPr>
                <w:rFonts w:asciiTheme="minorHAnsi" w:hAnsiTheme="minorHAnsi" w:cstheme="minorHAnsi"/>
                <w:sz w:val="22"/>
                <w:szCs w:val="22"/>
              </w:rPr>
              <w:t xml:space="preserve"> when sanctions for violating provider network requirements are determined via this provision versus Section 18.3.3.2. Section 18.3.3.2 identifies “failure to meet provider access to care &amp; network standards” as a 5-point violation but this Section 18.4.1 implies that sanctions for violating provider network requirements may be determined through a different process.</w:t>
            </w:r>
          </w:p>
        </w:tc>
        <w:tc>
          <w:tcPr>
            <w:tcW w:w="1559" w:type="pct"/>
            <w:shd w:val="clear" w:color="auto" w:fill="D9D9D9" w:themeFill="background1" w:themeFillShade="D9"/>
          </w:tcPr>
          <w:p w14:paraId="597A3503" w14:textId="77777777" w:rsidR="00CD36DE" w:rsidRPr="0096553B" w:rsidRDefault="00CD36DE" w:rsidP="00702D5F">
            <w:pPr>
              <w:rPr>
                <w:rFonts w:asciiTheme="minorHAnsi" w:hAnsiTheme="minorHAnsi" w:cs="Arial"/>
                <w:color w:val="FF0000"/>
                <w:sz w:val="22"/>
                <w:szCs w:val="22"/>
                <w:highlight w:val="yellow"/>
              </w:rPr>
            </w:pPr>
          </w:p>
        </w:tc>
      </w:tr>
      <w:tr w:rsidR="00433B6A" w:rsidRPr="0096553B" w14:paraId="38F4B3ED" w14:textId="77777777" w:rsidTr="00F23332">
        <w:trPr>
          <w:trHeight w:val="1229"/>
          <w:jc w:val="center"/>
        </w:trPr>
        <w:tc>
          <w:tcPr>
            <w:tcW w:w="432" w:type="pct"/>
            <w:shd w:val="clear" w:color="auto" w:fill="auto"/>
            <w:vAlign w:val="center"/>
          </w:tcPr>
          <w:p w14:paraId="71F6805D" w14:textId="77777777" w:rsidR="00433B6A" w:rsidRPr="0096553B" w:rsidRDefault="00433B6A" w:rsidP="00702D5F">
            <w:pPr>
              <w:jc w:val="center"/>
              <w:rPr>
                <w:rFonts w:asciiTheme="minorHAnsi" w:hAnsiTheme="minorHAnsi" w:cstheme="minorHAnsi"/>
                <w:color w:val="000000"/>
                <w:sz w:val="22"/>
                <w:szCs w:val="22"/>
              </w:rPr>
            </w:pPr>
            <w:r w:rsidRPr="0096553B">
              <w:rPr>
                <w:rFonts w:asciiTheme="minorHAnsi" w:hAnsiTheme="minorHAnsi" w:cstheme="minorHAnsi"/>
                <w:color w:val="000000"/>
                <w:sz w:val="22"/>
                <w:szCs w:val="22"/>
              </w:rPr>
              <w:t xml:space="preserve">23.1, </w:t>
            </w:r>
            <w:proofErr w:type="spellStart"/>
            <w:r w:rsidRPr="0096553B">
              <w:rPr>
                <w:rFonts w:asciiTheme="minorHAnsi" w:hAnsiTheme="minorHAnsi" w:cstheme="minorHAnsi"/>
                <w:color w:val="000000"/>
                <w:sz w:val="22"/>
                <w:szCs w:val="22"/>
              </w:rPr>
              <w:t>pg</w:t>
            </w:r>
            <w:proofErr w:type="spellEnd"/>
            <w:r w:rsidRPr="0096553B">
              <w:rPr>
                <w:rFonts w:asciiTheme="minorHAnsi" w:hAnsiTheme="minorHAnsi" w:cstheme="minorHAnsi"/>
                <w:color w:val="000000"/>
                <w:sz w:val="22"/>
                <w:szCs w:val="22"/>
              </w:rPr>
              <w:t xml:space="preserve"> 324</w:t>
            </w:r>
          </w:p>
        </w:tc>
        <w:tc>
          <w:tcPr>
            <w:tcW w:w="913" w:type="pct"/>
            <w:shd w:val="clear" w:color="auto" w:fill="auto"/>
            <w:vAlign w:val="center"/>
          </w:tcPr>
          <w:p w14:paraId="18A77622" w14:textId="42E5B9FE" w:rsidR="00433B6A" w:rsidRPr="0096553B" w:rsidRDefault="00433B6A" w:rsidP="00015361">
            <w:pPr>
              <w:rPr>
                <w:rFonts w:asciiTheme="minorHAnsi" w:hAnsiTheme="minorHAnsi" w:cstheme="minorHAnsi"/>
                <w:sz w:val="22"/>
                <w:szCs w:val="22"/>
              </w:rPr>
            </w:pPr>
            <w:r w:rsidRPr="0096553B">
              <w:rPr>
                <w:rFonts w:asciiTheme="minorHAnsi" w:hAnsiTheme="minorHAnsi" w:cstheme="minorHAnsi"/>
                <w:sz w:val="22"/>
                <w:szCs w:val="22"/>
              </w:rPr>
              <w:t xml:space="preserve">“A facility licensed by the Department of Behavioral Health and Developmental Services (DBHDS) in which care is provided to </w:t>
            </w:r>
            <w:r w:rsidRPr="0096553B">
              <w:rPr>
                <w:rFonts w:asciiTheme="minorHAnsi" w:hAnsiTheme="minorHAnsi" w:cstheme="minorHAnsi"/>
                <w:strike/>
                <w:color w:val="FF0000"/>
                <w:sz w:val="22"/>
                <w:szCs w:val="22"/>
              </w:rPr>
              <w:t xml:space="preserve">intellectually disabled </w:t>
            </w:r>
            <w:r w:rsidRPr="0096553B">
              <w:rPr>
                <w:rFonts w:asciiTheme="minorHAnsi" w:hAnsiTheme="minorHAnsi" w:cstheme="minorHAnsi"/>
                <w:strike/>
                <w:color w:val="FF0000"/>
                <w:sz w:val="22"/>
                <w:szCs w:val="22"/>
              </w:rPr>
              <w:lastRenderedPageBreak/>
              <w:t>individuals</w:t>
            </w:r>
            <w:r w:rsidRPr="0096553B">
              <w:rPr>
                <w:rFonts w:asciiTheme="minorHAnsi" w:hAnsiTheme="minorHAnsi" w:cstheme="minorHAnsi"/>
                <w:color w:val="FF0000"/>
                <w:sz w:val="22"/>
                <w:szCs w:val="22"/>
              </w:rPr>
              <w:t xml:space="preserve"> </w:t>
            </w:r>
            <w:proofErr w:type="spellStart"/>
            <w:r w:rsidR="00B63823" w:rsidRPr="0096553B">
              <w:rPr>
                <w:rFonts w:asciiTheme="minorHAnsi" w:hAnsiTheme="minorHAnsi" w:cstheme="minorHAnsi"/>
                <w:color w:val="FF0000"/>
                <w:sz w:val="22"/>
                <w:szCs w:val="22"/>
                <w:u w:val="single"/>
              </w:rPr>
              <w:t>individuals</w:t>
            </w:r>
            <w:proofErr w:type="spellEnd"/>
            <w:r w:rsidR="00B63823" w:rsidRPr="0096553B">
              <w:rPr>
                <w:rFonts w:asciiTheme="minorHAnsi" w:hAnsiTheme="minorHAnsi" w:cstheme="minorHAnsi"/>
                <w:color w:val="FF0000"/>
                <w:sz w:val="22"/>
                <w:szCs w:val="22"/>
                <w:u w:val="single"/>
              </w:rPr>
              <w:t xml:space="preserve"> with intellectual</w:t>
            </w:r>
            <w:r w:rsidR="00015361">
              <w:rPr>
                <w:rFonts w:asciiTheme="minorHAnsi" w:hAnsiTheme="minorHAnsi" w:cstheme="minorHAnsi"/>
                <w:color w:val="FF0000"/>
                <w:sz w:val="22"/>
                <w:szCs w:val="22"/>
                <w:u w:val="single"/>
              </w:rPr>
              <w:t>/developmental</w:t>
            </w:r>
            <w:r w:rsidR="00B63823" w:rsidRPr="0096553B">
              <w:rPr>
                <w:rFonts w:asciiTheme="minorHAnsi" w:hAnsiTheme="minorHAnsi" w:cstheme="minorHAnsi"/>
                <w:color w:val="FF0000"/>
                <w:sz w:val="22"/>
                <w:szCs w:val="22"/>
                <w:u w:val="single"/>
              </w:rPr>
              <w:t xml:space="preserve"> disabilities </w:t>
            </w:r>
            <w:r w:rsidRPr="0096553B">
              <w:rPr>
                <w:rFonts w:asciiTheme="minorHAnsi" w:hAnsiTheme="minorHAnsi" w:cstheme="minorHAnsi"/>
                <w:sz w:val="22"/>
                <w:szCs w:val="22"/>
              </w:rPr>
              <w:t>who are not in need of skilled nursing care</w:t>
            </w:r>
            <w:r w:rsidRPr="0096553B">
              <w:rPr>
                <w:rFonts w:asciiTheme="minorHAnsi" w:hAnsiTheme="minorHAnsi" w:cstheme="minorHAnsi"/>
                <w:strike/>
                <w:color w:val="FF0000"/>
                <w:sz w:val="22"/>
                <w:szCs w:val="22"/>
              </w:rPr>
              <w:t>, but who need more intensive training and supervision than would be available in a rooming, boarding home, or group home</w:t>
            </w:r>
            <w:r w:rsidRPr="0096553B">
              <w:rPr>
                <w:rFonts w:asciiTheme="minorHAnsi" w:hAnsiTheme="minorHAnsi" w:cstheme="minorHAnsi"/>
                <w:sz w:val="22"/>
                <w:szCs w:val="22"/>
              </w:rPr>
              <w:t>.”</w:t>
            </w:r>
          </w:p>
        </w:tc>
        <w:tc>
          <w:tcPr>
            <w:tcW w:w="2096" w:type="pct"/>
            <w:shd w:val="clear" w:color="auto" w:fill="auto"/>
            <w:vAlign w:val="center"/>
          </w:tcPr>
          <w:p w14:paraId="6B6BC40D" w14:textId="77777777" w:rsidR="00433B6A" w:rsidRPr="0096553B" w:rsidRDefault="00433B6A" w:rsidP="00702D5F">
            <w:pPr>
              <w:rPr>
                <w:rFonts w:asciiTheme="minorHAnsi" w:hAnsiTheme="minorHAnsi" w:cstheme="minorHAnsi"/>
                <w:sz w:val="22"/>
                <w:szCs w:val="22"/>
              </w:rPr>
            </w:pPr>
            <w:r w:rsidRPr="0096553B">
              <w:rPr>
                <w:rFonts w:asciiTheme="minorHAnsi" w:hAnsiTheme="minorHAnsi" w:cstheme="minorHAnsi"/>
                <w:sz w:val="22"/>
                <w:szCs w:val="22"/>
              </w:rPr>
              <w:lastRenderedPageBreak/>
              <w:t>The first revision is to use people-first language.</w:t>
            </w:r>
          </w:p>
          <w:p w14:paraId="204D0E6D" w14:textId="77777777" w:rsidR="00433B6A" w:rsidRPr="0096553B" w:rsidRDefault="00433B6A" w:rsidP="00702D5F">
            <w:pPr>
              <w:rPr>
                <w:rFonts w:asciiTheme="minorHAnsi" w:hAnsiTheme="minorHAnsi" w:cstheme="minorHAnsi"/>
                <w:sz w:val="22"/>
                <w:szCs w:val="22"/>
              </w:rPr>
            </w:pPr>
          </w:p>
          <w:p w14:paraId="472F2E0F" w14:textId="77777777" w:rsidR="00433B6A" w:rsidRPr="0096553B" w:rsidRDefault="00433B6A" w:rsidP="00702D5F">
            <w:pPr>
              <w:rPr>
                <w:rFonts w:asciiTheme="minorHAnsi" w:hAnsiTheme="minorHAnsi" w:cstheme="minorHAnsi"/>
                <w:sz w:val="22"/>
                <w:szCs w:val="22"/>
              </w:rPr>
            </w:pPr>
            <w:r w:rsidRPr="0096553B">
              <w:rPr>
                <w:rFonts w:asciiTheme="minorHAnsi" w:hAnsiTheme="minorHAnsi" w:cstheme="minorHAnsi"/>
                <w:sz w:val="22"/>
                <w:szCs w:val="22"/>
              </w:rPr>
              <w:t xml:space="preserve">The second revision is to align with CMS’ definition, which now considers intermediate care facilities as an alternative to home- and community-based services, rather than settings that necessarily provide more intensive training and supervision as this </w:t>
            </w:r>
            <w:r w:rsidRPr="0096553B">
              <w:rPr>
                <w:rFonts w:asciiTheme="minorHAnsi" w:hAnsiTheme="minorHAnsi" w:cstheme="minorHAnsi"/>
                <w:sz w:val="22"/>
                <w:szCs w:val="22"/>
              </w:rPr>
              <w:lastRenderedPageBreak/>
              <w:t>definition implies.</w:t>
            </w:r>
          </w:p>
        </w:tc>
        <w:tc>
          <w:tcPr>
            <w:tcW w:w="1559" w:type="pct"/>
            <w:shd w:val="clear" w:color="auto" w:fill="D9D9D9" w:themeFill="background1" w:themeFillShade="D9"/>
          </w:tcPr>
          <w:p w14:paraId="7806D3B5" w14:textId="77777777" w:rsidR="00433B6A" w:rsidRPr="0096553B" w:rsidRDefault="00433B6A" w:rsidP="00702D5F">
            <w:pPr>
              <w:rPr>
                <w:rFonts w:asciiTheme="minorHAnsi" w:hAnsiTheme="minorHAnsi" w:cs="Arial"/>
                <w:color w:val="FF0000"/>
                <w:sz w:val="22"/>
                <w:szCs w:val="22"/>
                <w:highlight w:val="yellow"/>
              </w:rPr>
            </w:pPr>
          </w:p>
        </w:tc>
      </w:tr>
    </w:tbl>
    <w:p w14:paraId="1EA7579A" w14:textId="77777777" w:rsidR="00E66365" w:rsidRPr="0096553B" w:rsidRDefault="00E66365" w:rsidP="00134CBF">
      <w:pPr>
        <w:rPr>
          <w:rFonts w:ascii="Arial" w:hAnsi="Arial" w:cs="Arial"/>
          <w:sz w:val="22"/>
          <w:szCs w:val="22"/>
        </w:rPr>
      </w:pPr>
    </w:p>
    <w:sectPr w:rsidR="00E66365" w:rsidRPr="0096553B" w:rsidSect="006138F5">
      <w:headerReference w:type="default" r:id="rId14"/>
      <w:footerReference w:type="default" r:id="rId15"/>
      <w:pgSz w:w="20160" w:h="12240" w:orient="landscape" w:code="5"/>
      <w:pgMar w:top="1008"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38DA" w14:textId="77777777" w:rsidR="008C5D1C" w:rsidRDefault="008C5D1C">
      <w:r>
        <w:separator/>
      </w:r>
    </w:p>
  </w:endnote>
  <w:endnote w:type="continuationSeparator" w:id="0">
    <w:p w14:paraId="10C0083C" w14:textId="77777777" w:rsidR="008C5D1C" w:rsidRDefault="008C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671C" w14:textId="0421E4B7" w:rsidR="00A37881" w:rsidRDefault="006A561D" w:rsidP="000A762E">
    <w:pPr>
      <w:pStyle w:val="Footer"/>
      <w:jc w:val="center"/>
    </w:pPr>
    <w:r w:rsidRPr="006A561D">
      <w:rPr>
        <w:rStyle w:val="PageNumber"/>
      </w:rPr>
      <w:ptab w:relativeTo="margin" w:alignment="center" w:leader="none"/>
    </w:r>
    <w:r w:rsidRPr="00473862">
      <w:rPr>
        <w:rFonts w:ascii="Minion Pro" w:hAnsi="Minion Pro"/>
        <w:i/>
        <w:color w:val="003D6B"/>
        <w:lang w:bidi="en-US"/>
      </w:rPr>
      <w:t>Virginia’s Developmental Disabilities Council</w:t>
    </w:r>
    <w:r>
      <w:rPr>
        <w:rFonts w:ascii="Minion Pro" w:hAnsi="Minion Pro"/>
        <w:i/>
        <w:color w:val="003D6B"/>
        <w:lang w:bidi="en-US"/>
      </w:rPr>
      <w:t xml:space="preserve"> </w:t>
    </w:r>
    <w:r w:rsidRPr="006A561D">
      <w:rPr>
        <w:rStyle w:val="PageNumber"/>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29B9" w14:textId="74A36343" w:rsidR="00894691" w:rsidRPr="00015361" w:rsidRDefault="00894691" w:rsidP="000A762E">
    <w:pPr>
      <w:pStyle w:val="Footer"/>
      <w:jc w:val="center"/>
      <w:rPr>
        <w:rFonts w:asciiTheme="minorHAnsi" w:hAnsiTheme="minorHAnsi" w:cstheme="minorHAnsi"/>
      </w:rPr>
    </w:pPr>
    <w:r w:rsidRPr="00015361">
      <w:rPr>
        <w:rFonts w:asciiTheme="minorHAnsi" w:hAnsiTheme="minorHAnsi" w:cstheme="minorHAnsi"/>
        <w:i/>
        <w:lang w:bidi="en-US"/>
      </w:rPr>
      <w:ptab w:relativeTo="margin" w:alignment="center" w:leader="none"/>
    </w:r>
    <w:r w:rsidRPr="00015361">
      <w:rPr>
        <w:rFonts w:asciiTheme="minorHAnsi" w:hAnsiTheme="minorHAnsi" w:cstheme="minorHAnsi"/>
        <w:i/>
        <w:lang w:bidi="en-US"/>
      </w:rPr>
      <w:ptab w:relativeTo="margin" w:alignment="right" w:leader="none"/>
    </w:r>
    <w:r w:rsidR="00015361" w:rsidRPr="00015361">
      <w:rPr>
        <w:rFonts w:asciiTheme="minorHAnsi" w:hAnsiTheme="minorHAnsi" w:cstheme="minorHAnsi"/>
        <w:i/>
        <w:lang w:bidi="en-US"/>
      </w:rPr>
      <w:t xml:space="preserve">VBPD Comment, Page </w:t>
    </w:r>
    <w:r w:rsidRPr="00015361">
      <w:rPr>
        <w:rFonts w:asciiTheme="minorHAnsi" w:hAnsiTheme="minorHAnsi" w:cstheme="minorHAnsi"/>
        <w:lang w:bidi="en-US"/>
      </w:rPr>
      <w:fldChar w:fldCharType="begin"/>
    </w:r>
    <w:r w:rsidRPr="00015361">
      <w:rPr>
        <w:rFonts w:asciiTheme="minorHAnsi" w:hAnsiTheme="minorHAnsi" w:cstheme="minorHAnsi"/>
        <w:lang w:bidi="en-US"/>
      </w:rPr>
      <w:instrText xml:space="preserve"> PAGE   \* MERGEFORMAT </w:instrText>
    </w:r>
    <w:r w:rsidRPr="00015361">
      <w:rPr>
        <w:rFonts w:asciiTheme="minorHAnsi" w:hAnsiTheme="minorHAnsi" w:cstheme="minorHAnsi"/>
        <w:lang w:bidi="en-US"/>
      </w:rPr>
      <w:fldChar w:fldCharType="separate"/>
    </w:r>
    <w:r w:rsidR="000D6882">
      <w:rPr>
        <w:rFonts w:asciiTheme="minorHAnsi" w:hAnsiTheme="minorHAnsi" w:cstheme="minorHAnsi"/>
        <w:noProof/>
        <w:lang w:bidi="en-US"/>
      </w:rPr>
      <w:t>2</w:t>
    </w:r>
    <w:r w:rsidRPr="00015361">
      <w:rPr>
        <w:rFonts w:asciiTheme="minorHAnsi" w:hAnsiTheme="minorHAnsi" w:cstheme="minorHAnsi"/>
        <w:noProof/>
        <w:lang w:bidi="en-US"/>
      </w:rPr>
      <w:fldChar w:fldCharType="end"/>
    </w:r>
  </w:p>
  <w:p w14:paraId="689E56F2" w14:textId="77777777" w:rsidR="00015361" w:rsidRDefault="00015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F0BE6" w14:textId="77777777" w:rsidR="008C5D1C" w:rsidRDefault="008C5D1C">
      <w:r>
        <w:separator/>
      </w:r>
    </w:p>
  </w:footnote>
  <w:footnote w:type="continuationSeparator" w:id="0">
    <w:p w14:paraId="35752DDD" w14:textId="77777777" w:rsidR="008C5D1C" w:rsidRDefault="008C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EAC3" w14:textId="77777777" w:rsidR="002C02ED" w:rsidRPr="009939D6" w:rsidRDefault="002C02ED" w:rsidP="002C02ED">
    <w:pPr>
      <w:rPr>
        <w:rFonts w:ascii="Arial" w:hAnsi="Arial" w:cs="Arial"/>
        <w:b/>
        <w:sz w:val="20"/>
        <w:szCs w:val="20"/>
      </w:rPr>
    </w:pPr>
  </w:p>
  <w:p w14:paraId="20290B9D" w14:textId="77777777" w:rsidR="002C02ED" w:rsidRDefault="002C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B780" w14:textId="77777777" w:rsidR="003E0EDA" w:rsidRPr="009939D6" w:rsidRDefault="003E0EDA" w:rsidP="002C02ED">
    <w:pPr>
      <w:jc w:val="center"/>
      <w:rPr>
        <w:rFonts w:ascii="Arial" w:hAnsi="Arial" w:cs="Arial"/>
        <w:b/>
        <w:sz w:val="28"/>
        <w:szCs w:val="28"/>
      </w:rPr>
    </w:pPr>
    <w:r>
      <w:rPr>
        <w:rFonts w:ascii="Arial" w:hAnsi="Arial" w:cs="Arial"/>
        <w:b/>
        <w:sz w:val="28"/>
        <w:szCs w:val="28"/>
      </w:rPr>
      <w:t>January 1, 2019 to December 31, 2019 – CCC Plus Program Contract</w:t>
    </w:r>
    <w:r w:rsidRPr="009939D6">
      <w:rPr>
        <w:rFonts w:ascii="Arial" w:hAnsi="Arial" w:cs="Arial"/>
        <w:b/>
        <w:sz w:val="28"/>
        <w:szCs w:val="28"/>
      </w:rPr>
      <w:t xml:space="preserve"> </w:t>
    </w:r>
  </w:p>
  <w:p w14:paraId="450A703B" w14:textId="77777777" w:rsidR="003E0EDA" w:rsidRDefault="003E0EDA" w:rsidP="002C02ED">
    <w:pPr>
      <w:jc w:val="center"/>
      <w:outlineLvl w:val="0"/>
      <w:rPr>
        <w:rFonts w:ascii="Arial" w:hAnsi="Arial" w:cs="Arial"/>
        <w:b/>
        <w:sz w:val="28"/>
        <w:szCs w:val="28"/>
      </w:rPr>
    </w:pPr>
    <w:r w:rsidRPr="009939D6">
      <w:rPr>
        <w:rFonts w:ascii="Arial" w:hAnsi="Arial" w:cs="Arial"/>
        <w:b/>
        <w:sz w:val="28"/>
        <w:szCs w:val="28"/>
      </w:rPr>
      <w:t>Request for Contract Changes &amp; Amendments</w:t>
    </w:r>
    <w:r>
      <w:rPr>
        <w:rFonts w:ascii="Arial" w:hAnsi="Arial" w:cs="Arial"/>
        <w:b/>
        <w:sz w:val="28"/>
        <w:szCs w:val="28"/>
      </w:rPr>
      <w:t xml:space="preserve"> – Advisory Committee – Round 1</w:t>
    </w:r>
  </w:p>
  <w:p w14:paraId="3C807342" w14:textId="77777777" w:rsidR="003E0EDA" w:rsidRPr="009939D6" w:rsidRDefault="003E0EDA" w:rsidP="002C02ED">
    <w:pPr>
      <w:jc w:val="center"/>
      <w:outlineLvl w:val="0"/>
      <w:rPr>
        <w:rFonts w:ascii="Arial" w:hAnsi="Arial" w:cs="Arial"/>
        <w:b/>
        <w:sz w:val="22"/>
        <w:szCs w:val="22"/>
      </w:rPr>
    </w:pPr>
    <w:r>
      <w:rPr>
        <w:rFonts w:ascii="Arial" w:hAnsi="Arial" w:cs="Arial"/>
        <w:b/>
        <w:sz w:val="28"/>
        <w:szCs w:val="28"/>
      </w:rPr>
      <w:t>Virginia Board for People with Disabilities Recommendations</w:t>
    </w:r>
  </w:p>
  <w:p w14:paraId="26D26D11" w14:textId="77777777" w:rsidR="003E0EDA" w:rsidRPr="009939D6" w:rsidRDefault="003E0EDA" w:rsidP="002C02ED">
    <w:pPr>
      <w:rPr>
        <w:rFonts w:ascii="Arial" w:hAnsi="Arial" w:cs="Arial"/>
        <w:b/>
        <w:sz w:val="20"/>
        <w:szCs w:val="20"/>
      </w:rPr>
    </w:pPr>
  </w:p>
  <w:p w14:paraId="71AEE097" w14:textId="77777777" w:rsidR="003E0EDA" w:rsidRDefault="003E0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AF"/>
    <w:multiLevelType w:val="multilevel"/>
    <w:tmpl w:val="6E4CB2A0"/>
    <w:lvl w:ilvl="0">
      <w:start w:val="1"/>
      <w:numFmt w:val="bullet"/>
      <w:lvlText w:val=""/>
      <w:lvlJc w:val="left"/>
      <w:pPr>
        <w:tabs>
          <w:tab w:val="num" w:pos="216"/>
        </w:tabs>
        <w:ind w:left="216" w:hanging="216"/>
      </w:pPr>
      <w:rPr>
        <w:rFonts w:ascii="Wingdings" w:hAnsi="Wingdings" w:hint="default"/>
        <w:b w:val="0"/>
        <w:i w:val="0"/>
        <w:color w:val="003366"/>
        <w:sz w:val="18"/>
      </w:rPr>
    </w:lvl>
    <w:lvl w:ilvl="1">
      <w:start w:val="1"/>
      <w:numFmt w:val="bullet"/>
      <w:lvlText w:val=""/>
      <w:lvlJc w:val="left"/>
      <w:pPr>
        <w:tabs>
          <w:tab w:val="num" w:pos="576"/>
        </w:tabs>
        <w:ind w:left="576" w:hanging="216"/>
      </w:pPr>
      <w:rPr>
        <w:rFonts w:ascii="Wingdings" w:hAnsi="Wingdings" w:hint="default"/>
        <w:b w:val="0"/>
        <w:i w:val="0"/>
        <w:color w:val="003366"/>
        <w:sz w:val="18"/>
      </w:rPr>
    </w:lvl>
    <w:lvl w:ilvl="2">
      <w:start w:val="1"/>
      <w:numFmt w:val="bullet"/>
      <w:lvlText w:val=""/>
      <w:lvlJc w:val="left"/>
      <w:pPr>
        <w:tabs>
          <w:tab w:val="num" w:pos="936"/>
        </w:tabs>
        <w:ind w:left="936" w:hanging="216"/>
      </w:pPr>
      <w:rPr>
        <w:rFonts w:ascii="Wingdings 2" w:hAnsi="Wingdings 2" w:hint="default"/>
        <w:b w:val="0"/>
        <w:i w:val="0"/>
        <w:color w:val="003366"/>
        <w:sz w:val="18"/>
      </w:rPr>
    </w:lvl>
    <w:lvl w:ilvl="3">
      <w:start w:val="1"/>
      <w:numFmt w:val="bullet"/>
      <w:lvlText w:val=""/>
      <w:lvlJc w:val="left"/>
      <w:pPr>
        <w:tabs>
          <w:tab w:val="num" w:pos="1296"/>
        </w:tabs>
        <w:ind w:left="1296" w:hanging="216"/>
      </w:pPr>
      <w:rPr>
        <w:rFonts w:ascii="Wingdings 2" w:hAnsi="Wingdings 2" w:hint="default"/>
        <w:b/>
        <w:i w:val="0"/>
        <w:color w:val="003366"/>
        <w:sz w:val="18"/>
      </w:rPr>
    </w:lvl>
    <w:lvl w:ilvl="4">
      <w:start w:val="1"/>
      <w:numFmt w:val="bullet"/>
      <w:lvlText w:val=""/>
      <w:lvlJc w:val="left"/>
      <w:pPr>
        <w:tabs>
          <w:tab w:val="num" w:pos="3660"/>
        </w:tabs>
        <w:ind w:left="3660" w:hanging="360"/>
      </w:pPr>
      <w:rPr>
        <w:rFonts w:ascii="Wingdings 2" w:hAnsi="Wingdings 2"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0488168B"/>
    <w:multiLevelType w:val="multilevel"/>
    <w:tmpl w:val="9580E3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6C514F"/>
    <w:multiLevelType w:val="hybridMultilevel"/>
    <w:tmpl w:val="26062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0A44"/>
    <w:multiLevelType w:val="hybridMultilevel"/>
    <w:tmpl w:val="269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17EFD"/>
    <w:multiLevelType w:val="hybridMultilevel"/>
    <w:tmpl w:val="098A5A14"/>
    <w:lvl w:ilvl="0" w:tplc="4BD0C936">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539F8"/>
    <w:multiLevelType w:val="singleLevel"/>
    <w:tmpl w:val="DCC85E62"/>
    <w:lvl w:ilvl="0">
      <w:start w:val="1"/>
      <w:numFmt w:val="lowerLetter"/>
      <w:lvlText w:val="%1."/>
      <w:lvlJc w:val="left"/>
      <w:pPr>
        <w:tabs>
          <w:tab w:val="num" w:pos="2160"/>
        </w:tabs>
        <w:ind w:left="2160" w:hanging="720"/>
      </w:pPr>
      <w:rPr>
        <w:rFonts w:hint="default"/>
      </w:rPr>
    </w:lvl>
  </w:abstractNum>
  <w:abstractNum w:abstractNumId="6">
    <w:nsid w:val="118C5485"/>
    <w:multiLevelType w:val="hybridMultilevel"/>
    <w:tmpl w:val="8D66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43BFB"/>
    <w:multiLevelType w:val="multilevel"/>
    <w:tmpl w:val="A81A84BA"/>
    <w:lvl w:ilvl="0">
      <w:start w:val="1"/>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8">
    <w:nsid w:val="13583EF5"/>
    <w:multiLevelType w:val="hybridMultilevel"/>
    <w:tmpl w:val="1CA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57128"/>
    <w:multiLevelType w:val="hybridMultilevel"/>
    <w:tmpl w:val="B420A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B4A96"/>
    <w:multiLevelType w:val="hybridMultilevel"/>
    <w:tmpl w:val="40FE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8A140C"/>
    <w:multiLevelType w:val="hybridMultilevel"/>
    <w:tmpl w:val="9CE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813D3"/>
    <w:multiLevelType w:val="hybridMultilevel"/>
    <w:tmpl w:val="550AD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C6DDF"/>
    <w:multiLevelType w:val="hybridMultilevel"/>
    <w:tmpl w:val="A71443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B04726D"/>
    <w:multiLevelType w:val="hybridMultilevel"/>
    <w:tmpl w:val="2020EA44"/>
    <w:lvl w:ilvl="0" w:tplc="EF7864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C3D09"/>
    <w:multiLevelType w:val="hybridMultilevel"/>
    <w:tmpl w:val="E6CE1BB0"/>
    <w:lvl w:ilvl="0" w:tplc="C106A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73688"/>
    <w:multiLevelType w:val="hybridMultilevel"/>
    <w:tmpl w:val="5FEE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F05C0F"/>
    <w:multiLevelType w:val="multilevel"/>
    <w:tmpl w:val="9580E3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87866EE"/>
    <w:multiLevelType w:val="hybridMultilevel"/>
    <w:tmpl w:val="3280C81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072D4F"/>
    <w:multiLevelType w:val="hybridMultilevel"/>
    <w:tmpl w:val="D96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EA3D23"/>
    <w:multiLevelType w:val="hybridMultilevel"/>
    <w:tmpl w:val="90488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FC5F00"/>
    <w:multiLevelType w:val="hybridMultilevel"/>
    <w:tmpl w:val="7AD6E846"/>
    <w:lvl w:ilvl="0" w:tplc="04090011">
      <w:start w:val="1"/>
      <w:numFmt w:val="decimal"/>
      <w:lvlText w:val="%1)"/>
      <w:lvlJc w:val="left"/>
      <w:pPr>
        <w:ind w:left="0" w:hanging="360"/>
      </w:pPr>
      <w:rPr>
        <w:rFonts w:hint="default"/>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51BF589E"/>
    <w:multiLevelType w:val="hybridMultilevel"/>
    <w:tmpl w:val="EC0E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141A2"/>
    <w:multiLevelType w:val="hybridMultilevel"/>
    <w:tmpl w:val="81A2C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B2F1B"/>
    <w:multiLevelType w:val="multilevel"/>
    <w:tmpl w:val="3A0C532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1.%2.%3"/>
      <w:lvlJc w:val="left"/>
      <w:pPr>
        <w:ind w:left="360" w:firstLine="0"/>
      </w:pPr>
      <w:rPr>
        <w:rFonts w:hint="default"/>
      </w:rPr>
    </w:lvl>
    <w:lvl w:ilvl="3">
      <w:start w:val="1"/>
      <w:numFmt w:val="upperRoman"/>
      <w:lvlText w:val="%1.%2.%3.%4"/>
      <w:lvlJc w:val="left"/>
      <w:pPr>
        <w:ind w:left="720" w:firstLine="0"/>
      </w:pPr>
      <w:rPr>
        <w:rFonts w:hint="default"/>
      </w:rPr>
    </w:lvl>
    <w:lvl w:ilvl="4">
      <w:start w:val="1"/>
      <w:numFmt w:val="lowerLetter"/>
      <w:lvlText w:val="%1.%2.%3.%4.%5"/>
      <w:lvlJc w:val="left"/>
      <w:pPr>
        <w:ind w:left="1080" w:firstLine="0"/>
      </w:pPr>
      <w:rPr>
        <w:rFonts w:hint="default"/>
        <w:b w:val="0"/>
      </w:rPr>
    </w:lvl>
    <w:lvl w:ilvl="5">
      <w:start w:val="1"/>
      <w:numFmt w:val="lowerRoman"/>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lowerLetter"/>
      <w:lvlText w:val="((%8))"/>
      <w:lvlJc w:val="left"/>
      <w:pPr>
        <w:ind w:left="2160" w:firstLine="0"/>
      </w:pPr>
      <w:rPr>
        <w:rFonts w:hint="default"/>
      </w:rPr>
    </w:lvl>
    <w:lvl w:ilvl="8">
      <w:start w:val="1"/>
      <w:numFmt w:val="none"/>
      <w:lvlText w:val="((i))"/>
      <w:lvlJc w:val="left"/>
      <w:pPr>
        <w:ind w:left="2520" w:firstLine="0"/>
      </w:pPr>
      <w:rPr>
        <w:rFonts w:hint="default"/>
      </w:rPr>
    </w:lvl>
  </w:abstractNum>
  <w:abstractNum w:abstractNumId="25">
    <w:nsid w:val="5C39424D"/>
    <w:multiLevelType w:val="multilevel"/>
    <w:tmpl w:val="9B14F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C73721C"/>
    <w:multiLevelType w:val="hybridMultilevel"/>
    <w:tmpl w:val="6E843F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45518E"/>
    <w:multiLevelType w:val="singleLevel"/>
    <w:tmpl w:val="9012A6B4"/>
    <w:lvl w:ilvl="0">
      <w:start w:val="10"/>
      <w:numFmt w:val="upperLetter"/>
      <w:lvlText w:val="%1."/>
      <w:lvlJc w:val="left"/>
      <w:pPr>
        <w:tabs>
          <w:tab w:val="num" w:pos="360"/>
        </w:tabs>
        <w:ind w:left="360" w:hanging="360"/>
      </w:pPr>
    </w:lvl>
  </w:abstractNum>
  <w:abstractNum w:abstractNumId="28">
    <w:nsid w:val="62B577B5"/>
    <w:multiLevelType w:val="hybridMultilevel"/>
    <w:tmpl w:val="DE5049A2"/>
    <w:lvl w:ilvl="0" w:tplc="E378313A">
      <w:start w:val="7"/>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B4152B"/>
    <w:multiLevelType w:val="multilevel"/>
    <w:tmpl w:val="9580E3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CFA0058"/>
    <w:multiLevelType w:val="hybridMultilevel"/>
    <w:tmpl w:val="88F24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EF54C73"/>
    <w:multiLevelType w:val="hybridMultilevel"/>
    <w:tmpl w:val="4A1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C54AF"/>
    <w:multiLevelType w:val="multilevel"/>
    <w:tmpl w:val="9F70FDFE"/>
    <w:lvl w:ilvl="0">
      <w:start w:val="1"/>
      <w:numFmt w:val="decimal"/>
      <w:lvlText w:val="%1."/>
      <w:lvlJc w:val="left"/>
      <w:pPr>
        <w:ind w:left="630" w:hanging="360"/>
      </w:pPr>
      <w:rPr>
        <w:b w:val="0"/>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7FC86B04"/>
    <w:multiLevelType w:val="multilevel"/>
    <w:tmpl w:val="6E4CB2A0"/>
    <w:lvl w:ilvl="0">
      <w:start w:val="1"/>
      <w:numFmt w:val="bullet"/>
      <w:lvlText w:val=""/>
      <w:lvlJc w:val="left"/>
      <w:pPr>
        <w:tabs>
          <w:tab w:val="num" w:pos="216"/>
        </w:tabs>
        <w:ind w:left="216" w:hanging="216"/>
      </w:pPr>
      <w:rPr>
        <w:rFonts w:ascii="Wingdings" w:hAnsi="Wingdings" w:hint="default"/>
        <w:b w:val="0"/>
        <w:i w:val="0"/>
        <w:color w:val="003366"/>
        <w:sz w:val="18"/>
        <w:szCs w:val="18"/>
      </w:rPr>
    </w:lvl>
    <w:lvl w:ilvl="1">
      <w:start w:val="1"/>
      <w:numFmt w:val="bullet"/>
      <w:lvlText w:val=""/>
      <w:lvlJc w:val="left"/>
      <w:pPr>
        <w:tabs>
          <w:tab w:val="num" w:pos="576"/>
        </w:tabs>
        <w:ind w:left="576" w:hanging="216"/>
      </w:pPr>
      <w:rPr>
        <w:rFonts w:ascii="Wingdings" w:hAnsi="Wingdings" w:hint="default"/>
        <w:b w:val="0"/>
        <w:i w:val="0"/>
        <w:color w:val="003366"/>
        <w:sz w:val="18"/>
        <w:szCs w:val="18"/>
      </w:rPr>
    </w:lvl>
    <w:lvl w:ilvl="2">
      <w:start w:val="1"/>
      <w:numFmt w:val="bullet"/>
      <w:lvlText w:val=""/>
      <w:lvlJc w:val="left"/>
      <w:pPr>
        <w:tabs>
          <w:tab w:val="num" w:pos="936"/>
        </w:tabs>
        <w:ind w:left="936" w:hanging="216"/>
      </w:pPr>
      <w:rPr>
        <w:rFonts w:ascii="Wingdings 2" w:hAnsi="Wingdings 2" w:hint="default"/>
        <w:b w:val="0"/>
        <w:i w:val="0"/>
        <w:color w:val="003366"/>
        <w:sz w:val="18"/>
        <w:szCs w:val="18"/>
      </w:rPr>
    </w:lvl>
    <w:lvl w:ilvl="3">
      <w:start w:val="1"/>
      <w:numFmt w:val="bullet"/>
      <w:lvlText w:val=""/>
      <w:lvlJc w:val="left"/>
      <w:pPr>
        <w:tabs>
          <w:tab w:val="num" w:pos="1296"/>
        </w:tabs>
        <w:ind w:left="1296" w:hanging="216"/>
      </w:pPr>
      <w:rPr>
        <w:rFonts w:ascii="Wingdings 2" w:hAnsi="Wingdings 2" w:hint="default"/>
        <w:b/>
        <w:i w:val="0"/>
        <w:color w:val="003366"/>
        <w:sz w:val="18"/>
        <w:szCs w:val="18"/>
      </w:rPr>
    </w:lvl>
    <w:lvl w:ilvl="4">
      <w:start w:val="1"/>
      <w:numFmt w:val="bullet"/>
      <w:lvlText w:val=""/>
      <w:lvlJc w:val="left"/>
      <w:pPr>
        <w:tabs>
          <w:tab w:val="num" w:pos="3660"/>
        </w:tabs>
        <w:ind w:left="3660" w:hanging="360"/>
      </w:pPr>
      <w:rPr>
        <w:rFonts w:ascii="Wingdings 2" w:hAnsi="Wingdings 2"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7"/>
  </w:num>
  <w:num w:numId="5">
    <w:abstractNumId w:val="28"/>
  </w:num>
  <w:num w:numId="6">
    <w:abstractNumId w:val="16"/>
  </w:num>
  <w:num w:numId="7">
    <w:abstractNumId w:val="20"/>
  </w:num>
  <w:num w:numId="8">
    <w:abstractNumId w:val="30"/>
  </w:num>
  <w:num w:numId="9">
    <w:abstractNumId w:val="13"/>
  </w:num>
  <w:num w:numId="10">
    <w:abstractNumId w:val="33"/>
  </w:num>
  <w:num w:numId="11">
    <w:abstractNumId w:val="0"/>
  </w:num>
  <w:num w:numId="12">
    <w:abstractNumId w:val="26"/>
  </w:num>
  <w:num w:numId="13">
    <w:abstractNumId w:val="2"/>
  </w:num>
  <w:num w:numId="14">
    <w:abstractNumId w:val="3"/>
  </w:num>
  <w:num w:numId="15">
    <w:abstractNumId w:val="18"/>
  </w:num>
  <w:num w:numId="16">
    <w:abstractNumId w:val="5"/>
  </w:num>
  <w:num w:numId="17">
    <w:abstractNumId w:val="29"/>
  </w:num>
  <w:num w:numId="18">
    <w:abstractNumId w:val="25"/>
  </w:num>
  <w:num w:numId="19">
    <w:abstractNumId w:val="24"/>
  </w:num>
  <w:num w:numId="20">
    <w:abstractNumId w:val="19"/>
  </w:num>
  <w:num w:numId="21">
    <w:abstractNumId w:val="7"/>
  </w:num>
  <w:num w:numId="22">
    <w:abstractNumId w:val="17"/>
  </w:num>
  <w:num w:numId="23">
    <w:abstractNumId w:val="1"/>
  </w:num>
  <w:num w:numId="24">
    <w:abstractNumId w:val="32"/>
  </w:num>
  <w:num w:numId="25">
    <w:abstractNumId w:val="11"/>
  </w:num>
  <w:num w:numId="26">
    <w:abstractNumId w:val="23"/>
  </w:num>
  <w:num w:numId="27">
    <w:abstractNumId w:val="15"/>
  </w:num>
  <w:num w:numId="28">
    <w:abstractNumId w:val="12"/>
  </w:num>
  <w:num w:numId="29">
    <w:abstractNumId w:val="14"/>
  </w:num>
  <w:num w:numId="30">
    <w:abstractNumId w:val="9"/>
  </w:num>
  <w:num w:numId="31">
    <w:abstractNumId w:val="21"/>
  </w:num>
  <w:num w:numId="32">
    <w:abstractNumId w:val="22"/>
  </w:num>
  <w:num w:numId="33">
    <w:abstractNumId w:val="8"/>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22"/>
    <w:rsid w:val="0000097F"/>
    <w:rsid w:val="0000189A"/>
    <w:rsid w:val="00002330"/>
    <w:rsid w:val="00002FA0"/>
    <w:rsid w:val="00003995"/>
    <w:rsid w:val="00004ECC"/>
    <w:rsid w:val="000051D1"/>
    <w:rsid w:val="00005C6A"/>
    <w:rsid w:val="00007A3C"/>
    <w:rsid w:val="000118AD"/>
    <w:rsid w:val="00014243"/>
    <w:rsid w:val="00014599"/>
    <w:rsid w:val="00015361"/>
    <w:rsid w:val="00015F41"/>
    <w:rsid w:val="0001666D"/>
    <w:rsid w:val="00020F44"/>
    <w:rsid w:val="0002300C"/>
    <w:rsid w:val="000244BE"/>
    <w:rsid w:val="0002466B"/>
    <w:rsid w:val="00024BF7"/>
    <w:rsid w:val="00027ABF"/>
    <w:rsid w:val="00027EDB"/>
    <w:rsid w:val="00032A30"/>
    <w:rsid w:val="0003386A"/>
    <w:rsid w:val="000343A0"/>
    <w:rsid w:val="0003503E"/>
    <w:rsid w:val="0003579F"/>
    <w:rsid w:val="00035882"/>
    <w:rsid w:val="000379F2"/>
    <w:rsid w:val="00041E9E"/>
    <w:rsid w:val="00041F15"/>
    <w:rsid w:val="00043504"/>
    <w:rsid w:val="00044B3B"/>
    <w:rsid w:val="00045538"/>
    <w:rsid w:val="00045E35"/>
    <w:rsid w:val="00047025"/>
    <w:rsid w:val="00052202"/>
    <w:rsid w:val="000524CD"/>
    <w:rsid w:val="00052EF3"/>
    <w:rsid w:val="00056776"/>
    <w:rsid w:val="00057D39"/>
    <w:rsid w:val="0006019B"/>
    <w:rsid w:val="00060592"/>
    <w:rsid w:val="00060679"/>
    <w:rsid w:val="0006067F"/>
    <w:rsid w:val="00061876"/>
    <w:rsid w:val="0006188F"/>
    <w:rsid w:val="00061BB7"/>
    <w:rsid w:val="0006283A"/>
    <w:rsid w:val="00062CBF"/>
    <w:rsid w:val="00065B0B"/>
    <w:rsid w:val="00066C3D"/>
    <w:rsid w:val="00071690"/>
    <w:rsid w:val="000735EE"/>
    <w:rsid w:val="00073D88"/>
    <w:rsid w:val="000762B2"/>
    <w:rsid w:val="0007696D"/>
    <w:rsid w:val="00081061"/>
    <w:rsid w:val="00081FC3"/>
    <w:rsid w:val="00085B8F"/>
    <w:rsid w:val="000917F3"/>
    <w:rsid w:val="000923C1"/>
    <w:rsid w:val="0009266B"/>
    <w:rsid w:val="00092A23"/>
    <w:rsid w:val="000936D5"/>
    <w:rsid w:val="000960CE"/>
    <w:rsid w:val="000A00F7"/>
    <w:rsid w:val="000A0F38"/>
    <w:rsid w:val="000A28EA"/>
    <w:rsid w:val="000A4952"/>
    <w:rsid w:val="000A4D40"/>
    <w:rsid w:val="000A5DD9"/>
    <w:rsid w:val="000A762E"/>
    <w:rsid w:val="000B17B5"/>
    <w:rsid w:val="000B2B90"/>
    <w:rsid w:val="000B38CE"/>
    <w:rsid w:val="000B40ED"/>
    <w:rsid w:val="000B58D2"/>
    <w:rsid w:val="000B6358"/>
    <w:rsid w:val="000C0115"/>
    <w:rsid w:val="000C03F7"/>
    <w:rsid w:val="000C0433"/>
    <w:rsid w:val="000C0A13"/>
    <w:rsid w:val="000C0C1D"/>
    <w:rsid w:val="000C1B3D"/>
    <w:rsid w:val="000C2E8C"/>
    <w:rsid w:val="000C3578"/>
    <w:rsid w:val="000C4069"/>
    <w:rsid w:val="000C6C51"/>
    <w:rsid w:val="000C722F"/>
    <w:rsid w:val="000D00DA"/>
    <w:rsid w:val="000D112B"/>
    <w:rsid w:val="000D131E"/>
    <w:rsid w:val="000D3143"/>
    <w:rsid w:val="000D6810"/>
    <w:rsid w:val="000D6882"/>
    <w:rsid w:val="000D7AFF"/>
    <w:rsid w:val="000D7CC0"/>
    <w:rsid w:val="000E117E"/>
    <w:rsid w:val="000E1513"/>
    <w:rsid w:val="000E3820"/>
    <w:rsid w:val="000E5573"/>
    <w:rsid w:val="000E6DE2"/>
    <w:rsid w:val="000F052E"/>
    <w:rsid w:val="000F0D64"/>
    <w:rsid w:val="000F2AC7"/>
    <w:rsid w:val="000F3328"/>
    <w:rsid w:val="000F4264"/>
    <w:rsid w:val="001001E9"/>
    <w:rsid w:val="00100341"/>
    <w:rsid w:val="00100AA2"/>
    <w:rsid w:val="001010FC"/>
    <w:rsid w:val="00101456"/>
    <w:rsid w:val="00103AD7"/>
    <w:rsid w:val="001070B8"/>
    <w:rsid w:val="00107920"/>
    <w:rsid w:val="00107A81"/>
    <w:rsid w:val="00107B81"/>
    <w:rsid w:val="0011136B"/>
    <w:rsid w:val="001113D6"/>
    <w:rsid w:val="00111C00"/>
    <w:rsid w:val="001178B9"/>
    <w:rsid w:val="001212F3"/>
    <w:rsid w:val="00121B83"/>
    <w:rsid w:val="0012497F"/>
    <w:rsid w:val="00126160"/>
    <w:rsid w:val="0012738E"/>
    <w:rsid w:val="00127A72"/>
    <w:rsid w:val="00127D18"/>
    <w:rsid w:val="00130BB3"/>
    <w:rsid w:val="00130FAB"/>
    <w:rsid w:val="00130FD5"/>
    <w:rsid w:val="00132FB0"/>
    <w:rsid w:val="00134AE8"/>
    <w:rsid w:val="00134CBF"/>
    <w:rsid w:val="00137B56"/>
    <w:rsid w:val="00141533"/>
    <w:rsid w:val="0014225F"/>
    <w:rsid w:val="00145543"/>
    <w:rsid w:val="00146564"/>
    <w:rsid w:val="00146962"/>
    <w:rsid w:val="0014748F"/>
    <w:rsid w:val="00151837"/>
    <w:rsid w:val="001520CA"/>
    <w:rsid w:val="00153068"/>
    <w:rsid w:val="00154463"/>
    <w:rsid w:val="00160468"/>
    <w:rsid w:val="00162BD5"/>
    <w:rsid w:val="001634EC"/>
    <w:rsid w:val="00167142"/>
    <w:rsid w:val="001706A6"/>
    <w:rsid w:val="00170C88"/>
    <w:rsid w:val="00171AE5"/>
    <w:rsid w:val="001727A7"/>
    <w:rsid w:val="00172B12"/>
    <w:rsid w:val="001732A1"/>
    <w:rsid w:val="001740F4"/>
    <w:rsid w:val="001764AD"/>
    <w:rsid w:val="00177723"/>
    <w:rsid w:val="00177B67"/>
    <w:rsid w:val="0018077E"/>
    <w:rsid w:val="00181890"/>
    <w:rsid w:val="00182212"/>
    <w:rsid w:val="00182645"/>
    <w:rsid w:val="00182B8D"/>
    <w:rsid w:val="00182BB8"/>
    <w:rsid w:val="001833D3"/>
    <w:rsid w:val="00184E18"/>
    <w:rsid w:val="00184E9D"/>
    <w:rsid w:val="00184F9B"/>
    <w:rsid w:val="0018577D"/>
    <w:rsid w:val="001872EF"/>
    <w:rsid w:val="00187FD6"/>
    <w:rsid w:val="00190407"/>
    <w:rsid w:val="00190B62"/>
    <w:rsid w:val="0019112F"/>
    <w:rsid w:val="00191A9B"/>
    <w:rsid w:val="00197968"/>
    <w:rsid w:val="00197D73"/>
    <w:rsid w:val="001A17D8"/>
    <w:rsid w:val="001A4E8E"/>
    <w:rsid w:val="001A5BAD"/>
    <w:rsid w:val="001A6A1C"/>
    <w:rsid w:val="001A786D"/>
    <w:rsid w:val="001B01E9"/>
    <w:rsid w:val="001B033C"/>
    <w:rsid w:val="001B257E"/>
    <w:rsid w:val="001B584C"/>
    <w:rsid w:val="001B7461"/>
    <w:rsid w:val="001C13C3"/>
    <w:rsid w:val="001C1F25"/>
    <w:rsid w:val="001C22D0"/>
    <w:rsid w:val="001C3034"/>
    <w:rsid w:val="001C3146"/>
    <w:rsid w:val="001C52D6"/>
    <w:rsid w:val="001C59AA"/>
    <w:rsid w:val="001C6D29"/>
    <w:rsid w:val="001D06EB"/>
    <w:rsid w:val="001D098F"/>
    <w:rsid w:val="001D1543"/>
    <w:rsid w:val="001D23BB"/>
    <w:rsid w:val="001D2497"/>
    <w:rsid w:val="001D3421"/>
    <w:rsid w:val="001D3BA6"/>
    <w:rsid w:val="001D564D"/>
    <w:rsid w:val="001D5B3A"/>
    <w:rsid w:val="001D6E86"/>
    <w:rsid w:val="001D7325"/>
    <w:rsid w:val="001D7924"/>
    <w:rsid w:val="001E0BC7"/>
    <w:rsid w:val="001E1857"/>
    <w:rsid w:val="001E1EBE"/>
    <w:rsid w:val="001E261A"/>
    <w:rsid w:val="001E2AD7"/>
    <w:rsid w:val="001E65E7"/>
    <w:rsid w:val="001F21E6"/>
    <w:rsid w:val="001F3406"/>
    <w:rsid w:val="001F3DF3"/>
    <w:rsid w:val="001F45CB"/>
    <w:rsid w:val="00205463"/>
    <w:rsid w:val="002059D3"/>
    <w:rsid w:val="0020713E"/>
    <w:rsid w:val="00207742"/>
    <w:rsid w:val="0021376E"/>
    <w:rsid w:val="00215399"/>
    <w:rsid w:val="0021668E"/>
    <w:rsid w:val="00221F51"/>
    <w:rsid w:val="002224BA"/>
    <w:rsid w:val="002254C5"/>
    <w:rsid w:val="00225C52"/>
    <w:rsid w:val="00225E86"/>
    <w:rsid w:val="002262BC"/>
    <w:rsid w:val="002269EA"/>
    <w:rsid w:val="00227C89"/>
    <w:rsid w:val="00230AFE"/>
    <w:rsid w:val="00230B54"/>
    <w:rsid w:val="00230D40"/>
    <w:rsid w:val="00230E4C"/>
    <w:rsid w:val="00232E21"/>
    <w:rsid w:val="00233057"/>
    <w:rsid w:val="00233306"/>
    <w:rsid w:val="00233AF2"/>
    <w:rsid w:val="002343DE"/>
    <w:rsid w:val="0023700C"/>
    <w:rsid w:val="00240A9B"/>
    <w:rsid w:val="00242B7F"/>
    <w:rsid w:val="00243875"/>
    <w:rsid w:val="0024435D"/>
    <w:rsid w:val="0024463A"/>
    <w:rsid w:val="00244751"/>
    <w:rsid w:val="00244AB0"/>
    <w:rsid w:val="0024793B"/>
    <w:rsid w:val="00247E6B"/>
    <w:rsid w:val="002509C8"/>
    <w:rsid w:val="00250AA4"/>
    <w:rsid w:val="00250FAC"/>
    <w:rsid w:val="00251126"/>
    <w:rsid w:val="0025158F"/>
    <w:rsid w:val="00251BC0"/>
    <w:rsid w:val="0026069A"/>
    <w:rsid w:val="00262453"/>
    <w:rsid w:val="00265E53"/>
    <w:rsid w:val="00270F36"/>
    <w:rsid w:val="00271A9C"/>
    <w:rsid w:val="00271C0D"/>
    <w:rsid w:val="00272E52"/>
    <w:rsid w:val="00272FF5"/>
    <w:rsid w:val="002732D9"/>
    <w:rsid w:val="00273F06"/>
    <w:rsid w:val="002745C3"/>
    <w:rsid w:val="00275BD5"/>
    <w:rsid w:val="00276809"/>
    <w:rsid w:val="00277628"/>
    <w:rsid w:val="00281E9A"/>
    <w:rsid w:val="00282D82"/>
    <w:rsid w:val="00284D0A"/>
    <w:rsid w:val="00287F2E"/>
    <w:rsid w:val="0029095A"/>
    <w:rsid w:val="002920FD"/>
    <w:rsid w:val="00293957"/>
    <w:rsid w:val="00294BD7"/>
    <w:rsid w:val="00294DCA"/>
    <w:rsid w:val="00295A45"/>
    <w:rsid w:val="00297674"/>
    <w:rsid w:val="002A03DF"/>
    <w:rsid w:val="002A1A88"/>
    <w:rsid w:val="002A2EE0"/>
    <w:rsid w:val="002A34AA"/>
    <w:rsid w:val="002A3C5B"/>
    <w:rsid w:val="002A4F20"/>
    <w:rsid w:val="002A585C"/>
    <w:rsid w:val="002A5D3F"/>
    <w:rsid w:val="002A651F"/>
    <w:rsid w:val="002A6F4B"/>
    <w:rsid w:val="002B1E53"/>
    <w:rsid w:val="002B61FE"/>
    <w:rsid w:val="002B62B3"/>
    <w:rsid w:val="002B7F79"/>
    <w:rsid w:val="002C02ED"/>
    <w:rsid w:val="002C2526"/>
    <w:rsid w:val="002C3677"/>
    <w:rsid w:val="002C56A0"/>
    <w:rsid w:val="002C61CE"/>
    <w:rsid w:val="002D00BB"/>
    <w:rsid w:val="002D1EDE"/>
    <w:rsid w:val="002D2055"/>
    <w:rsid w:val="002D2B4C"/>
    <w:rsid w:val="002D2CDE"/>
    <w:rsid w:val="002D4EEF"/>
    <w:rsid w:val="002D5202"/>
    <w:rsid w:val="002D7CA6"/>
    <w:rsid w:val="002E1AE9"/>
    <w:rsid w:val="002E1B8C"/>
    <w:rsid w:val="002E2D84"/>
    <w:rsid w:val="002E328C"/>
    <w:rsid w:val="002E67DB"/>
    <w:rsid w:val="002F058E"/>
    <w:rsid w:val="002F29E5"/>
    <w:rsid w:val="002F4142"/>
    <w:rsid w:val="002F5615"/>
    <w:rsid w:val="002F5780"/>
    <w:rsid w:val="002F6A75"/>
    <w:rsid w:val="002F74D5"/>
    <w:rsid w:val="002F7CE0"/>
    <w:rsid w:val="002F7EA6"/>
    <w:rsid w:val="00300B44"/>
    <w:rsid w:val="003024F6"/>
    <w:rsid w:val="00302D01"/>
    <w:rsid w:val="003033CC"/>
    <w:rsid w:val="00305D40"/>
    <w:rsid w:val="0030647C"/>
    <w:rsid w:val="00307324"/>
    <w:rsid w:val="003107C9"/>
    <w:rsid w:val="0031097D"/>
    <w:rsid w:val="0031173A"/>
    <w:rsid w:val="00312547"/>
    <w:rsid w:val="00312635"/>
    <w:rsid w:val="00312AFB"/>
    <w:rsid w:val="003133EA"/>
    <w:rsid w:val="00313A60"/>
    <w:rsid w:val="00314D0E"/>
    <w:rsid w:val="00314D1A"/>
    <w:rsid w:val="00314D1B"/>
    <w:rsid w:val="003174E0"/>
    <w:rsid w:val="0031758F"/>
    <w:rsid w:val="003202D3"/>
    <w:rsid w:val="00320E9B"/>
    <w:rsid w:val="003212E3"/>
    <w:rsid w:val="0032167F"/>
    <w:rsid w:val="003240BF"/>
    <w:rsid w:val="00325097"/>
    <w:rsid w:val="0032529A"/>
    <w:rsid w:val="0032594A"/>
    <w:rsid w:val="00327D4D"/>
    <w:rsid w:val="00330501"/>
    <w:rsid w:val="0033137C"/>
    <w:rsid w:val="00331AFF"/>
    <w:rsid w:val="003405DF"/>
    <w:rsid w:val="003411DE"/>
    <w:rsid w:val="00341CFC"/>
    <w:rsid w:val="00344178"/>
    <w:rsid w:val="0034449F"/>
    <w:rsid w:val="00345B7A"/>
    <w:rsid w:val="00347013"/>
    <w:rsid w:val="00347CC1"/>
    <w:rsid w:val="00347E25"/>
    <w:rsid w:val="00353C78"/>
    <w:rsid w:val="0035411E"/>
    <w:rsid w:val="00354279"/>
    <w:rsid w:val="00354C0D"/>
    <w:rsid w:val="003556AF"/>
    <w:rsid w:val="00355C61"/>
    <w:rsid w:val="0036009C"/>
    <w:rsid w:val="00360992"/>
    <w:rsid w:val="00362263"/>
    <w:rsid w:val="00364089"/>
    <w:rsid w:val="0036643D"/>
    <w:rsid w:val="00372904"/>
    <w:rsid w:val="0037705D"/>
    <w:rsid w:val="00381487"/>
    <w:rsid w:val="003818E8"/>
    <w:rsid w:val="00383018"/>
    <w:rsid w:val="00385916"/>
    <w:rsid w:val="003868CF"/>
    <w:rsid w:val="00394710"/>
    <w:rsid w:val="00394F80"/>
    <w:rsid w:val="003953D3"/>
    <w:rsid w:val="00395733"/>
    <w:rsid w:val="003968B6"/>
    <w:rsid w:val="00397CFA"/>
    <w:rsid w:val="003A0266"/>
    <w:rsid w:val="003A06B6"/>
    <w:rsid w:val="003A27BF"/>
    <w:rsid w:val="003A2D65"/>
    <w:rsid w:val="003A4177"/>
    <w:rsid w:val="003A501A"/>
    <w:rsid w:val="003A728E"/>
    <w:rsid w:val="003A79C0"/>
    <w:rsid w:val="003B1CB8"/>
    <w:rsid w:val="003B2803"/>
    <w:rsid w:val="003B33CC"/>
    <w:rsid w:val="003B47DE"/>
    <w:rsid w:val="003B558F"/>
    <w:rsid w:val="003B67AB"/>
    <w:rsid w:val="003B7B6A"/>
    <w:rsid w:val="003C04C8"/>
    <w:rsid w:val="003C19EC"/>
    <w:rsid w:val="003C2F49"/>
    <w:rsid w:val="003C4C24"/>
    <w:rsid w:val="003C4D23"/>
    <w:rsid w:val="003C609D"/>
    <w:rsid w:val="003D21AF"/>
    <w:rsid w:val="003D2A91"/>
    <w:rsid w:val="003D3FD5"/>
    <w:rsid w:val="003D4AF8"/>
    <w:rsid w:val="003D7918"/>
    <w:rsid w:val="003D7CCF"/>
    <w:rsid w:val="003E08AF"/>
    <w:rsid w:val="003E0EDA"/>
    <w:rsid w:val="003E40B5"/>
    <w:rsid w:val="003E5241"/>
    <w:rsid w:val="003E7193"/>
    <w:rsid w:val="003F01F5"/>
    <w:rsid w:val="003F57E3"/>
    <w:rsid w:val="003F5C81"/>
    <w:rsid w:val="003F695E"/>
    <w:rsid w:val="003F7C49"/>
    <w:rsid w:val="0040094F"/>
    <w:rsid w:val="004019CE"/>
    <w:rsid w:val="00401A42"/>
    <w:rsid w:val="00401B82"/>
    <w:rsid w:val="00403E22"/>
    <w:rsid w:val="00405733"/>
    <w:rsid w:val="00406667"/>
    <w:rsid w:val="00411788"/>
    <w:rsid w:val="004137E9"/>
    <w:rsid w:val="004140BF"/>
    <w:rsid w:val="004144E3"/>
    <w:rsid w:val="004202B1"/>
    <w:rsid w:val="00422B2E"/>
    <w:rsid w:val="0042429E"/>
    <w:rsid w:val="0042517B"/>
    <w:rsid w:val="004251A1"/>
    <w:rsid w:val="0042731C"/>
    <w:rsid w:val="00427956"/>
    <w:rsid w:val="0043067B"/>
    <w:rsid w:val="004307DD"/>
    <w:rsid w:val="00433B6A"/>
    <w:rsid w:val="00433C8B"/>
    <w:rsid w:val="0043648D"/>
    <w:rsid w:val="0043740C"/>
    <w:rsid w:val="00437AC5"/>
    <w:rsid w:val="004427A5"/>
    <w:rsid w:val="0044291C"/>
    <w:rsid w:val="00442BE1"/>
    <w:rsid w:val="0044454C"/>
    <w:rsid w:val="00446C5C"/>
    <w:rsid w:val="004549AC"/>
    <w:rsid w:val="00456F98"/>
    <w:rsid w:val="004570E8"/>
    <w:rsid w:val="0045796D"/>
    <w:rsid w:val="0046043A"/>
    <w:rsid w:val="00461520"/>
    <w:rsid w:val="00464A28"/>
    <w:rsid w:val="004703AE"/>
    <w:rsid w:val="00470DE9"/>
    <w:rsid w:val="00471642"/>
    <w:rsid w:val="00471699"/>
    <w:rsid w:val="0047283B"/>
    <w:rsid w:val="00473512"/>
    <w:rsid w:val="00473672"/>
    <w:rsid w:val="0047428D"/>
    <w:rsid w:val="00474AFC"/>
    <w:rsid w:val="00474B2A"/>
    <w:rsid w:val="00474DAB"/>
    <w:rsid w:val="00476B95"/>
    <w:rsid w:val="00476C11"/>
    <w:rsid w:val="00476D70"/>
    <w:rsid w:val="004771E2"/>
    <w:rsid w:val="00481723"/>
    <w:rsid w:val="0048219C"/>
    <w:rsid w:val="00482F3A"/>
    <w:rsid w:val="00485BB7"/>
    <w:rsid w:val="0048672B"/>
    <w:rsid w:val="00490D82"/>
    <w:rsid w:val="00492373"/>
    <w:rsid w:val="00492E0D"/>
    <w:rsid w:val="004934F9"/>
    <w:rsid w:val="00493DEF"/>
    <w:rsid w:val="004940C5"/>
    <w:rsid w:val="004959FB"/>
    <w:rsid w:val="004972E3"/>
    <w:rsid w:val="004A13A8"/>
    <w:rsid w:val="004A2921"/>
    <w:rsid w:val="004A4F68"/>
    <w:rsid w:val="004A5599"/>
    <w:rsid w:val="004A55BA"/>
    <w:rsid w:val="004A5718"/>
    <w:rsid w:val="004A5A46"/>
    <w:rsid w:val="004B0307"/>
    <w:rsid w:val="004B1364"/>
    <w:rsid w:val="004B2E2D"/>
    <w:rsid w:val="004B3250"/>
    <w:rsid w:val="004B44C3"/>
    <w:rsid w:val="004B5236"/>
    <w:rsid w:val="004B5F07"/>
    <w:rsid w:val="004C0EEB"/>
    <w:rsid w:val="004C11DF"/>
    <w:rsid w:val="004C27C1"/>
    <w:rsid w:val="004C622C"/>
    <w:rsid w:val="004C759C"/>
    <w:rsid w:val="004C7AF3"/>
    <w:rsid w:val="004D05DF"/>
    <w:rsid w:val="004D2A60"/>
    <w:rsid w:val="004D6401"/>
    <w:rsid w:val="004D7967"/>
    <w:rsid w:val="004D7BA1"/>
    <w:rsid w:val="004E2BE3"/>
    <w:rsid w:val="004E4980"/>
    <w:rsid w:val="004E5A44"/>
    <w:rsid w:val="004F06CF"/>
    <w:rsid w:val="004F319F"/>
    <w:rsid w:val="004F388C"/>
    <w:rsid w:val="004F3A35"/>
    <w:rsid w:val="004F3BBD"/>
    <w:rsid w:val="004F62E0"/>
    <w:rsid w:val="00500307"/>
    <w:rsid w:val="00502B51"/>
    <w:rsid w:val="00502C68"/>
    <w:rsid w:val="005049F8"/>
    <w:rsid w:val="00504FC9"/>
    <w:rsid w:val="0050523D"/>
    <w:rsid w:val="00505DC8"/>
    <w:rsid w:val="00511EDA"/>
    <w:rsid w:val="00513793"/>
    <w:rsid w:val="00513CEA"/>
    <w:rsid w:val="00516436"/>
    <w:rsid w:val="00521CE2"/>
    <w:rsid w:val="0052550F"/>
    <w:rsid w:val="00525A60"/>
    <w:rsid w:val="00530236"/>
    <w:rsid w:val="0053100C"/>
    <w:rsid w:val="005310E0"/>
    <w:rsid w:val="00533AA0"/>
    <w:rsid w:val="00533C7A"/>
    <w:rsid w:val="00533DE5"/>
    <w:rsid w:val="00534BB9"/>
    <w:rsid w:val="005356A1"/>
    <w:rsid w:val="00535B72"/>
    <w:rsid w:val="005364CE"/>
    <w:rsid w:val="00536E0E"/>
    <w:rsid w:val="005373F0"/>
    <w:rsid w:val="00543110"/>
    <w:rsid w:val="005441AF"/>
    <w:rsid w:val="005445B3"/>
    <w:rsid w:val="005478F9"/>
    <w:rsid w:val="0054797A"/>
    <w:rsid w:val="00551A1E"/>
    <w:rsid w:val="00551CA6"/>
    <w:rsid w:val="00555719"/>
    <w:rsid w:val="005557C4"/>
    <w:rsid w:val="00557919"/>
    <w:rsid w:val="005601D6"/>
    <w:rsid w:val="00560DFC"/>
    <w:rsid w:val="005624D3"/>
    <w:rsid w:val="00563DB9"/>
    <w:rsid w:val="00564221"/>
    <w:rsid w:val="005655B9"/>
    <w:rsid w:val="005661CF"/>
    <w:rsid w:val="005663F4"/>
    <w:rsid w:val="00567C30"/>
    <w:rsid w:val="00570ECC"/>
    <w:rsid w:val="00571DCF"/>
    <w:rsid w:val="00572102"/>
    <w:rsid w:val="00572B33"/>
    <w:rsid w:val="00572BD9"/>
    <w:rsid w:val="00573423"/>
    <w:rsid w:val="00574316"/>
    <w:rsid w:val="00575797"/>
    <w:rsid w:val="005758EF"/>
    <w:rsid w:val="0057602D"/>
    <w:rsid w:val="005767B1"/>
    <w:rsid w:val="005848BA"/>
    <w:rsid w:val="00587F59"/>
    <w:rsid w:val="005905FB"/>
    <w:rsid w:val="00590B4F"/>
    <w:rsid w:val="00590EA3"/>
    <w:rsid w:val="00591CA4"/>
    <w:rsid w:val="0059267C"/>
    <w:rsid w:val="00593950"/>
    <w:rsid w:val="00595A3E"/>
    <w:rsid w:val="00596970"/>
    <w:rsid w:val="00596CE6"/>
    <w:rsid w:val="00597161"/>
    <w:rsid w:val="005A1C5B"/>
    <w:rsid w:val="005A2351"/>
    <w:rsid w:val="005A3675"/>
    <w:rsid w:val="005A6686"/>
    <w:rsid w:val="005A7129"/>
    <w:rsid w:val="005B0020"/>
    <w:rsid w:val="005B0262"/>
    <w:rsid w:val="005B52BC"/>
    <w:rsid w:val="005B6024"/>
    <w:rsid w:val="005B65CF"/>
    <w:rsid w:val="005B7463"/>
    <w:rsid w:val="005C015D"/>
    <w:rsid w:val="005C046E"/>
    <w:rsid w:val="005C0B9A"/>
    <w:rsid w:val="005C1811"/>
    <w:rsid w:val="005C4F45"/>
    <w:rsid w:val="005C7970"/>
    <w:rsid w:val="005D0D72"/>
    <w:rsid w:val="005D0F13"/>
    <w:rsid w:val="005D121E"/>
    <w:rsid w:val="005D1814"/>
    <w:rsid w:val="005D6C36"/>
    <w:rsid w:val="005E0C56"/>
    <w:rsid w:val="005E2EC2"/>
    <w:rsid w:val="005E7063"/>
    <w:rsid w:val="005F4BEE"/>
    <w:rsid w:val="005F546C"/>
    <w:rsid w:val="005F614D"/>
    <w:rsid w:val="005F62CE"/>
    <w:rsid w:val="005F683B"/>
    <w:rsid w:val="005F71FF"/>
    <w:rsid w:val="005F7691"/>
    <w:rsid w:val="0060040D"/>
    <w:rsid w:val="006004FA"/>
    <w:rsid w:val="00602886"/>
    <w:rsid w:val="00604EBF"/>
    <w:rsid w:val="006079E2"/>
    <w:rsid w:val="00607B06"/>
    <w:rsid w:val="00607E69"/>
    <w:rsid w:val="00612B81"/>
    <w:rsid w:val="0061323C"/>
    <w:rsid w:val="006138F5"/>
    <w:rsid w:val="006140A3"/>
    <w:rsid w:val="006148B5"/>
    <w:rsid w:val="0061504A"/>
    <w:rsid w:val="00617AE0"/>
    <w:rsid w:val="006217FA"/>
    <w:rsid w:val="00621D94"/>
    <w:rsid w:val="00624487"/>
    <w:rsid w:val="00624618"/>
    <w:rsid w:val="00625337"/>
    <w:rsid w:val="00626D2A"/>
    <w:rsid w:val="0063099D"/>
    <w:rsid w:val="006316CA"/>
    <w:rsid w:val="0063361A"/>
    <w:rsid w:val="0063376A"/>
    <w:rsid w:val="00633949"/>
    <w:rsid w:val="00635EAF"/>
    <w:rsid w:val="00636045"/>
    <w:rsid w:val="00636362"/>
    <w:rsid w:val="00636739"/>
    <w:rsid w:val="006368BF"/>
    <w:rsid w:val="006376E7"/>
    <w:rsid w:val="00637A50"/>
    <w:rsid w:val="0064036D"/>
    <w:rsid w:val="00640820"/>
    <w:rsid w:val="00641422"/>
    <w:rsid w:val="00643CE0"/>
    <w:rsid w:val="00643F6E"/>
    <w:rsid w:val="0064619A"/>
    <w:rsid w:val="006505ED"/>
    <w:rsid w:val="00653977"/>
    <w:rsid w:val="0065723D"/>
    <w:rsid w:val="00657F17"/>
    <w:rsid w:val="00661EC3"/>
    <w:rsid w:val="00661FE8"/>
    <w:rsid w:val="006636C1"/>
    <w:rsid w:val="006637BA"/>
    <w:rsid w:val="00663F44"/>
    <w:rsid w:val="0066445F"/>
    <w:rsid w:val="00665312"/>
    <w:rsid w:val="006653A5"/>
    <w:rsid w:val="00667A09"/>
    <w:rsid w:val="00672088"/>
    <w:rsid w:val="00672FF2"/>
    <w:rsid w:val="00674080"/>
    <w:rsid w:val="00674179"/>
    <w:rsid w:val="006749CF"/>
    <w:rsid w:val="006777DD"/>
    <w:rsid w:val="006778C2"/>
    <w:rsid w:val="00677A38"/>
    <w:rsid w:val="006815FF"/>
    <w:rsid w:val="006828C4"/>
    <w:rsid w:val="00683372"/>
    <w:rsid w:val="006834FD"/>
    <w:rsid w:val="00684749"/>
    <w:rsid w:val="00685EF7"/>
    <w:rsid w:val="006876FA"/>
    <w:rsid w:val="006903A0"/>
    <w:rsid w:val="006916C1"/>
    <w:rsid w:val="0069459E"/>
    <w:rsid w:val="00695A04"/>
    <w:rsid w:val="0069671A"/>
    <w:rsid w:val="006A2FC1"/>
    <w:rsid w:val="006A3B5C"/>
    <w:rsid w:val="006A4418"/>
    <w:rsid w:val="006A46A1"/>
    <w:rsid w:val="006A4B95"/>
    <w:rsid w:val="006A561D"/>
    <w:rsid w:val="006A5B8F"/>
    <w:rsid w:val="006A62E0"/>
    <w:rsid w:val="006A6C7E"/>
    <w:rsid w:val="006A7C33"/>
    <w:rsid w:val="006B001A"/>
    <w:rsid w:val="006B06D3"/>
    <w:rsid w:val="006B104D"/>
    <w:rsid w:val="006B1FB8"/>
    <w:rsid w:val="006B251B"/>
    <w:rsid w:val="006B4FB6"/>
    <w:rsid w:val="006B6844"/>
    <w:rsid w:val="006B70EC"/>
    <w:rsid w:val="006B7262"/>
    <w:rsid w:val="006B7446"/>
    <w:rsid w:val="006B7B35"/>
    <w:rsid w:val="006B7BD2"/>
    <w:rsid w:val="006C06B3"/>
    <w:rsid w:val="006C12DE"/>
    <w:rsid w:val="006C27F9"/>
    <w:rsid w:val="006C2DF1"/>
    <w:rsid w:val="006C58A2"/>
    <w:rsid w:val="006C7612"/>
    <w:rsid w:val="006C7A0E"/>
    <w:rsid w:val="006D0485"/>
    <w:rsid w:val="006D0DDA"/>
    <w:rsid w:val="006D1DA8"/>
    <w:rsid w:val="006D22E7"/>
    <w:rsid w:val="006D40CC"/>
    <w:rsid w:val="006D5B8F"/>
    <w:rsid w:val="006D6FEB"/>
    <w:rsid w:val="006E0CFA"/>
    <w:rsid w:val="006E5543"/>
    <w:rsid w:val="006E5EB2"/>
    <w:rsid w:val="006E62C1"/>
    <w:rsid w:val="006F29A6"/>
    <w:rsid w:val="006F3190"/>
    <w:rsid w:val="006F589E"/>
    <w:rsid w:val="006F694E"/>
    <w:rsid w:val="006F72AB"/>
    <w:rsid w:val="006F7821"/>
    <w:rsid w:val="00700A65"/>
    <w:rsid w:val="00702B7B"/>
    <w:rsid w:val="00702D5F"/>
    <w:rsid w:val="00707955"/>
    <w:rsid w:val="00707FAF"/>
    <w:rsid w:val="0071203C"/>
    <w:rsid w:val="0071483A"/>
    <w:rsid w:val="007161A1"/>
    <w:rsid w:val="00716496"/>
    <w:rsid w:val="00716D30"/>
    <w:rsid w:val="007222C5"/>
    <w:rsid w:val="00723476"/>
    <w:rsid w:val="00725090"/>
    <w:rsid w:val="007258F0"/>
    <w:rsid w:val="007279FC"/>
    <w:rsid w:val="00727C00"/>
    <w:rsid w:val="007307A3"/>
    <w:rsid w:val="0073176B"/>
    <w:rsid w:val="00733491"/>
    <w:rsid w:val="00733B31"/>
    <w:rsid w:val="00737878"/>
    <w:rsid w:val="0074040C"/>
    <w:rsid w:val="00742485"/>
    <w:rsid w:val="007427F1"/>
    <w:rsid w:val="007442BF"/>
    <w:rsid w:val="0074438D"/>
    <w:rsid w:val="00744B03"/>
    <w:rsid w:val="00750A68"/>
    <w:rsid w:val="00752D97"/>
    <w:rsid w:val="00754805"/>
    <w:rsid w:val="00754BA7"/>
    <w:rsid w:val="00755A03"/>
    <w:rsid w:val="00761163"/>
    <w:rsid w:val="00761698"/>
    <w:rsid w:val="0076248D"/>
    <w:rsid w:val="0076487B"/>
    <w:rsid w:val="00764BF7"/>
    <w:rsid w:val="00766FDA"/>
    <w:rsid w:val="00767602"/>
    <w:rsid w:val="0077032D"/>
    <w:rsid w:val="0077099F"/>
    <w:rsid w:val="007733E3"/>
    <w:rsid w:val="00775838"/>
    <w:rsid w:val="007764AC"/>
    <w:rsid w:val="007774C7"/>
    <w:rsid w:val="00777C25"/>
    <w:rsid w:val="007841AF"/>
    <w:rsid w:val="007850F5"/>
    <w:rsid w:val="00785710"/>
    <w:rsid w:val="00787B10"/>
    <w:rsid w:val="00787F94"/>
    <w:rsid w:val="0079000E"/>
    <w:rsid w:val="00791B58"/>
    <w:rsid w:val="00792445"/>
    <w:rsid w:val="00792EA3"/>
    <w:rsid w:val="007930B3"/>
    <w:rsid w:val="00795DC2"/>
    <w:rsid w:val="00795F22"/>
    <w:rsid w:val="007978D2"/>
    <w:rsid w:val="00797B31"/>
    <w:rsid w:val="007A18E6"/>
    <w:rsid w:val="007A427E"/>
    <w:rsid w:val="007A4644"/>
    <w:rsid w:val="007A4DBD"/>
    <w:rsid w:val="007A5719"/>
    <w:rsid w:val="007A6B90"/>
    <w:rsid w:val="007A7BCF"/>
    <w:rsid w:val="007A7D2C"/>
    <w:rsid w:val="007A7E77"/>
    <w:rsid w:val="007B4D6F"/>
    <w:rsid w:val="007B5D4D"/>
    <w:rsid w:val="007B6238"/>
    <w:rsid w:val="007B6C0B"/>
    <w:rsid w:val="007B6D74"/>
    <w:rsid w:val="007B7032"/>
    <w:rsid w:val="007B7B8A"/>
    <w:rsid w:val="007C07B5"/>
    <w:rsid w:val="007C137C"/>
    <w:rsid w:val="007C1DB2"/>
    <w:rsid w:val="007C2894"/>
    <w:rsid w:val="007C32DD"/>
    <w:rsid w:val="007C5ECE"/>
    <w:rsid w:val="007C6EF1"/>
    <w:rsid w:val="007D0B11"/>
    <w:rsid w:val="007D12AC"/>
    <w:rsid w:val="007D34D6"/>
    <w:rsid w:val="007D3D93"/>
    <w:rsid w:val="007D5074"/>
    <w:rsid w:val="007D53FF"/>
    <w:rsid w:val="007D75C0"/>
    <w:rsid w:val="007E1D6E"/>
    <w:rsid w:val="007E2234"/>
    <w:rsid w:val="007E2C53"/>
    <w:rsid w:val="007E2EBA"/>
    <w:rsid w:val="007E6F03"/>
    <w:rsid w:val="007E7C86"/>
    <w:rsid w:val="007F04D8"/>
    <w:rsid w:val="007F1C82"/>
    <w:rsid w:val="007F2B64"/>
    <w:rsid w:val="007F5E6D"/>
    <w:rsid w:val="007F5F2B"/>
    <w:rsid w:val="007F7E8B"/>
    <w:rsid w:val="0080686F"/>
    <w:rsid w:val="00806C5F"/>
    <w:rsid w:val="0081011D"/>
    <w:rsid w:val="0081012D"/>
    <w:rsid w:val="00811C3C"/>
    <w:rsid w:val="00811FD0"/>
    <w:rsid w:val="008133B4"/>
    <w:rsid w:val="00813AE6"/>
    <w:rsid w:val="00816E2D"/>
    <w:rsid w:val="00817AD7"/>
    <w:rsid w:val="00821825"/>
    <w:rsid w:val="00822FA4"/>
    <w:rsid w:val="00823C63"/>
    <w:rsid w:val="00823D07"/>
    <w:rsid w:val="00824577"/>
    <w:rsid w:val="008305A9"/>
    <w:rsid w:val="00830B0A"/>
    <w:rsid w:val="00831756"/>
    <w:rsid w:val="0083323A"/>
    <w:rsid w:val="00833FD5"/>
    <w:rsid w:val="00835802"/>
    <w:rsid w:val="0083748D"/>
    <w:rsid w:val="0083763F"/>
    <w:rsid w:val="00840077"/>
    <w:rsid w:val="00840236"/>
    <w:rsid w:val="00843F44"/>
    <w:rsid w:val="00844C7D"/>
    <w:rsid w:val="00845483"/>
    <w:rsid w:val="00847B9F"/>
    <w:rsid w:val="00855A37"/>
    <w:rsid w:val="00855FBE"/>
    <w:rsid w:val="00857E72"/>
    <w:rsid w:val="008603FC"/>
    <w:rsid w:val="00860DFB"/>
    <w:rsid w:val="008614DF"/>
    <w:rsid w:val="008615F3"/>
    <w:rsid w:val="0086250F"/>
    <w:rsid w:val="00865C9C"/>
    <w:rsid w:val="00867355"/>
    <w:rsid w:val="0087180D"/>
    <w:rsid w:val="00874254"/>
    <w:rsid w:val="008743E1"/>
    <w:rsid w:val="0087517D"/>
    <w:rsid w:val="00875B16"/>
    <w:rsid w:val="00875DC0"/>
    <w:rsid w:val="00876BBF"/>
    <w:rsid w:val="00880AB7"/>
    <w:rsid w:val="00881118"/>
    <w:rsid w:val="00884087"/>
    <w:rsid w:val="0088677F"/>
    <w:rsid w:val="00887065"/>
    <w:rsid w:val="0089286F"/>
    <w:rsid w:val="0089312F"/>
    <w:rsid w:val="00894691"/>
    <w:rsid w:val="00897B6E"/>
    <w:rsid w:val="00897EA5"/>
    <w:rsid w:val="008A3435"/>
    <w:rsid w:val="008A47FE"/>
    <w:rsid w:val="008A631C"/>
    <w:rsid w:val="008A6FA2"/>
    <w:rsid w:val="008A7D50"/>
    <w:rsid w:val="008B066D"/>
    <w:rsid w:val="008B1E28"/>
    <w:rsid w:val="008B552B"/>
    <w:rsid w:val="008C2981"/>
    <w:rsid w:val="008C3CB2"/>
    <w:rsid w:val="008C5D1C"/>
    <w:rsid w:val="008C5D78"/>
    <w:rsid w:val="008C5F5A"/>
    <w:rsid w:val="008C6F24"/>
    <w:rsid w:val="008D0852"/>
    <w:rsid w:val="008D3C53"/>
    <w:rsid w:val="008D527D"/>
    <w:rsid w:val="008D5FEA"/>
    <w:rsid w:val="008E05E1"/>
    <w:rsid w:val="008E09A9"/>
    <w:rsid w:val="008E4BC5"/>
    <w:rsid w:val="008E5C46"/>
    <w:rsid w:val="008E6667"/>
    <w:rsid w:val="008E733C"/>
    <w:rsid w:val="008E7AF2"/>
    <w:rsid w:val="008F1242"/>
    <w:rsid w:val="008F1EA7"/>
    <w:rsid w:val="008F2634"/>
    <w:rsid w:val="008F2ACF"/>
    <w:rsid w:val="00900B14"/>
    <w:rsid w:val="00900CA3"/>
    <w:rsid w:val="00902DF8"/>
    <w:rsid w:val="00903272"/>
    <w:rsid w:val="00905484"/>
    <w:rsid w:val="00906712"/>
    <w:rsid w:val="00906829"/>
    <w:rsid w:val="009070D6"/>
    <w:rsid w:val="00911FBD"/>
    <w:rsid w:val="0091478A"/>
    <w:rsid w:val="009172F9"/>
    <w:rsid w:val="00917899"/>
    <w:rsid w:val="009218BF"/>
    <w:rsid w:val="00921DC5"/>
    <w:rsid w:val="00922CD3"/>
    <w:rsid w:val="009246D1"/>
    <w:rsid w:val="009250D0"/>
    <w:rsid w:val="00926821"/>
    <w:rsid w:val="00927C60"/>
    <w:rsid w:val="00927F3F"/>
    <w:rsid w:val="00931F0E"/>
    <w:rsid w:val="0093415B"/>
    <w:rsid w:val="00934DBF"/>
    <w:rsid w:val="00934E5D"/>
    <w:rsid w:val="009427A0"/>
    <w:rsid w:val="00942E7E"/>
    <w:rsid w:val="009430F6"/>
    <w:rsid w:val="009444B4"/>
    <w:rsid w:val="00944AFF"/>
    <w:rsid w:val="009531F6"/>
    <w:rsid w:val="009539C3"/>
    <w:rsid w:val="00953BB3"/>
    <w:rsid w:val="0095562F"/>
    <w:rsid w:val="009610E7"/>
    <w:rsid w:val="00961E48"/>
    <w:rsid w:val="009625B2"/>
    <w:rsid w:val="00964936"/>
    <w:rsid w:val="0096509C"/>
    <w:rsid w:val="0096553B"/>
    <w:rsid w:val="00966CCF"/>
    <w:rsid w:val="00967018"/>
    <w:rsid w:val="00967FC6"/>
    <w:rsid w:val="00972435"/>
    <w:rsid w:val="009740A4"/>
    <w:rsid w:val="00976A8B"/>
    <w:rsid w:val="00977D3F"/>
    <w:rsid w:val="00980832"/>
    <w:rsid w:val="009811D5"/>
    <w:rsid w:val="0098359A"/>
    <w:rsid w:val="00984AFE"/>
    <w:rsid w:val="00985AE8"/>
    <w:rsid w:val="0098686D"/>
    <w:rsid w:val="00986905"/>
    <w:rsid w:val="00991DAA"/>
    <w:rsid w:val="009939D6"/>
    <w:rsid w:val="00994661"/>
    <w:rsid w:val="00994B53"/>
    <w:rsid w:val="009978EB"/>
    <w:rsid w:val="00997962"/>
    <w:rsid w:val="00997C8F"/>
    <w:rsid w:val="009A0203"/>
    <w:rsid w:val="009A18BC"/>
    <w:rsid w:val="009A3546"/>
    <w:rsid w:val="009A3B53"/>
    <w:rsid w:val="009B10E3"/>
    <w:rsid w:val="009B13E5"/>
    <w:rsid w:val="009B1FE7"/>
    <w:rsid w:val="009B42F1"/>
    <w:rsid w:val="009B4C35"/>
    <w:rsid w:val="009B4E5B"/>
    <w:rsid w:val="009B6DE9"/>
    <w:rsid w:val="009C0535"/>
    <w:rsid w:val="009C06EE"/>
    <w:rsid w:val="009C205E"/>
    <w:rsid w:val="009C2C5A"/>
    <w:rsid w:val="009C3ED2"/>
    <w:rsid w:val="009C4976"/>
    <w:rsid w:val="009C4E79"/>
    <w:rsid w:val="009C6FC4"/>
    <w:rsid w:val="009C762E"/>
    <w:rsid w:val="009C76D5"/>
    <w:rsid w:val="009D0D6E"/>
    <w:rsid w:val="009D0D90"/>
    <w:rsid w:val="009D136F"/>
    <w:rsid w:val="009D1C2E"/>
    <w:rsid w:val="009D2383"/>
    <w:rsid w:val="009D2D0E"/>
    <w:rsid w:val="009D3031"/>
    <w:rsid w:val="009D4844"/>
    <w:rsid w:val="009E0447"/>
    <w:rsid w:val="009E3316"/>
    <w:rsid w:val="009E41F1"/>
    <w:rsid w:val="009E747B"/>
    <w:rsid w:val="009F0642"/>
    <w:rsid w:val="009F0D26"/>
    <w:rsid w:val="009F13F2"/>
    <w:rsid w:val="009F1B86"/>
    <w:rsid w:val="009F43BC"/>
    <w:rsid w:val="009F4AA0"/>
    <w:rsid w:val="009F6359"/>
    <w:rsid w:val="00A008A8"/>
    <w:rsid w:val="00A00C3B"/>
    <w:rsid w:val="00A01CDB"/>
    <w:rsid w:val="00A0629D"/>
    <w:rsid w:val="00A14B22"/>
    <w:rsid w:val="00A154E0"/>
    <w:rsid w:val="00A22924"/>
    <w:rsid w:val="00A22C01"/>
    <w:rsid w:val="00A238AF"/>
    <w:rsid w:val="00A2437B"/>
    <w:rsid w:val="00A24DEE"/>
    <w:rsid w:val="00A25724"/>
    <w:rsid w:val="00A310F7"/>
    <w:rsid w:val="00A3184F"/>
    <w:rsid w:val="00A33812"/>
    <w:rsid w:val="00A34AA8"/>
    <w:rsid w:val="00A36500"/>
    <w:rsid w:val="00A37881"/>
    <w:rsid w:val="00A41BC1"/>
    <w:rsid w:val="00A427C5"/>
    <w:rsid w:val="00A42C07"/>
    <w:rsid w:val="00A444D4"/>
    <w:rsid w:val="00A45939"/>
    <w:rsid w:val="00A47C43"/>
    <w:rsid w:val="00A47E3C"/>
    <w:rsid w:val="00A50AB7"/>
    <w:rsid w:val="00A56407"/>
    <w:rsid w:val="00A56E1D"/>
    <w:rsid w:val="00A57A19"/>
    <w:rsid w:val="00A57CDA"/>
    <w:rsid w:val="00A61048"/>
    <w:rsid w:val="00A62C06"/>
    <w:rsid w:val="00A62F19"/>
    <w:rsid w:val="00A63B2F"/>
    <w:rsid w:val="00A71983"/>
    <w:rsid w:val="00A74671"/>
    <w:rsid w:val="00A75101"/>
    <w:rsid w:val="00A76464"/>
    <w:rsid w:val="00A76687"/>
    <w:rsid w:val="00A81C42"/>
    <w:rsid w:val="00A839B2"/>
    <w:rsid w:val="00A8423A"/>
    <w:rsid w:val="00A84A6E"/>
    <w:rsid w:val="00A84B5E"/>
    <w:rsid w:val="00A84F83"/>
    <w:rsid w:val="00A85825"/>
    <w:rsid w:val="00A86418"/>
    <w:rsid w:val="00A869A3"/>
    <w:rsid w:val="00A86ADC"/>
    <w:rsid w:val="00A87224"/>
    <w:rsid w:val="00A8791E"/>
    <w:rsid w:val="00A87D8A"/>
    <w:rsid w:val="00A87DFA"/>
    <w:rsid w:val="00A900FD"/>
    <w:rsid w:val="00A94594"/>
    <w:rsid w:val="00A94B32"/>
    <w:rsid w:val="00A975F0"/>
    <w:rsid w:val="00AA1CC9"/>
    <w:rsid w:val="00AA29B8"/>
    <w:rsid w:val="00AA49A8"/>
    <w:rsid w:val="00AA4BD8"/>
    <w:rsid w:val="00AA581C"/>
    <w:rsid w:val="00AA69B7"/>
    <w:rsid w:val="00AA775E"/>
    <w:rsid w:val="00AB063D"/>
    <w:rsid w:val="00AB3F9E"/>
    <w:rsid w:val="00AB4466"/>
    <w:rsid w:val="00AB4B57"/>
    <w:rsid w:val="00AB63DA"/>
    <w:rsid w:val="00AB7C72"/>
    <w:rsid w:val="00AC2ECC"/>
    <w:rsid w:val="00AC6586"/>
    <w:rsid w:val="00AC7487"/>
    <w:rsid w:val="00AD01E2"/>
    <w:rsid w:val="00AD13AE"/>
    <w:rsid w:val="00AD20B5"/>
    <w:rsid w:val="00AD33A2"/>
    <w:rsid w:val="00AD42B2"/>
    <w:rsid w:val="00AD5926"/>
    <w:rsid w:val="00AE40BE"/>
    <w:rsid w:val="00AE4189"/>
    <w:rsid w:val="00AE4204"/>
    <w:rsid w:val="00AF0372"/>
    <w:rsid w:val="00AF0DEE"/>
    <w:rsid w:val="00AF18BD"/>
    <w:rsid w:val="00AF24DE"/>
    <w:rsid w:val="00AF2A35"/>
    <w:rsid w:val="00AF6587"/>
    <w:rsid w:val="00AF6C5A"/>
    <w:rsid w:val="00AF6EE1"/>
    <w:rsid w:val="00AF7734"/>
    <w:rsid w:val="00B00AD5"/>
    <w:rsid w:val="00B00BEC"/>
    <w:rsid w:val="00B11B47"/>
    <w:rsid w:val="00B12019"/>
    <w:rsid w:val="00B13455"/>
    <w:rsid w:val="00B13664"/>
    <w:rsid w:val="00B13E26"/>
    <w:rsid w:val="00B16023"/>
    <w:rsid w:val="00B16B3D"/>
    <w:rsid w:val="00B171FF"/>
    <w:rsid w:val="00B17FAB"/>
    <w:rsid w:val="00B232F7"/>
    <w:rsid w:val="00B251BB"/>
    <w:rsid w:val="00B256F4"/>
    <w:rsid w:val="00B25E34"/>
    <w:rsid w:val="00B304C1"/>
    <w:rsid w:val="00B3126B"/>
    <w:rsid w:val="00B31BD8"/>
    <w:rsid w:val="00B34E54"/>
    <w:rsid w:val="00B3644D"/>
    <w:rsid w:val="00B36F16"/>
    <w:rsid w:val="00B37257"/>
    <w:rsid w:val="00B37AF5"/>
    <w:rsid w:val="00B401A4"/>
    <w:rsid w:val="00B408E7"/>
    <w:rsid w:val="00B40CC7"/>
    <w:rsid w:val="00B40F42"/>
    <w:rsid w:val="00B43C93"/>
    <w:rsid w:val="00B44259"/>
    <w:rsid w:val="00B44A6C"/>
    <w:rsid w:val="00B46ADE"/>
    <w:rsid w:val="00B47B79"/>
    <w:rsid w:val="00B5015C"/>
    <w:rsid w:val="00B5086C"/>
    <w:rsid w:val="00B50B63"/>
    <w:rsid w:val="00B51010"/>
    <w:rsid w:val="00B53465"/>
    <w:rsid w:val="00B54176"/>
    <w:rsid w:val="00B56F38"/>
    <w:rsid w:val="00B577E0"/>
    <w:rsid w:val="00B61201"/>
    <w:rsid w:val="00B62102"/>
    <w:rsid w:val="00B63823"/>
    <w:rsid w:val="00B655BB"/>
    <w:rsid w:val="00B65C18"/>
    <w:rsid w:val="00B65EFE"/>
    <w:rsid w:val="00B67419"/>
    <w:rsid w:val="00B71B3F"/>
    <w:rsid w:val="00B71EDB"/>
    <w:rsid w:val="00B72D01"/>
    <w:rsid w:val="00B75210"/>
    <w:rsid w:val="00B75323"/>
    <w:rsid w:val="00B773BE"/>
    <w:rsid w:val="00B8188F"/>
    <w:rsid w:val="00B81D11"/>
    <w:rsid w:val="00B83491"/>
    <w:rsid w:val="00B8389C"/>
    <w:rsid w:val="00B843F5"/>
    <w:rsid w:val="00B850D2"/>
    <w:rsid w:val="00B85A7A"/>
    <w:rsid w:val="00B85E59"/>
    <w:rsid w:val="00B91A89"/>
    <w:rsid w:val="00B93060"/>
    <w:rsid w:val="00B93DE8"/>
    <w:rsid w:val="00B94914"/>
    <w:rsid w:val="00B94D8A"/>
    <w:rsid w:val="00B95937"/>
    <w:rsid w:val="00B959BD"/>
    <w:rsid w:val="00BA2370"/>
    <w:rsid w:val="00BA4F8A"/>
    <w:rsid w:val="00BA6617"/>
    <w:rsid w:val="00BA6FE7"/>
    <w:rsid w:val="00BB0F41"/>
    <w:rsid w:val="00BB30C8"/>
    <w:rsid w:val="00BB311F"/>
    <w:rsid w:val="00BB386D"/>
    <w:rsid w:val="00BB409E"/>
    <w:rsid w:val="00BB4804"/>
    <w:rsid w:val="00BB48AC"/>
    <w:rsid w:val="00BB58F7"/>
    <w:rsid w:val="00BB6D18"/>
    <w:rsid w:val="00BB73BC"/>
    <w:rsid w:val="00BC12D6"/>
    <w:rsid w:val="00BC1E76"/>
    <w:rsid w:val="00BC59C3"/>
    <w:rsid w:val="00BD18D6"/>
    <w:rsid w:val="00BD4612"/>
    <w:rsid w:val="00BD4640"/>
    <w:rsid w:val="00BD59AE"/>
    <w:rsid w:val="00BD6684"/>
    <w:rsid w:val="00BD7DC3"/>
    <w:rsid w:val="00BD7F42"/>
    <w:rsid w:val="00BE18BE"/>
    <w:rsid w:val="00BE3327"/>
    <w:rsid w:val="00BE3A9B"/>
    <w:rsid w:val="00BE3AEB"/>
    <w:rsid w:val="00BE3C32"/>
    <w:rsid w:val="00BE448A"/>
    <w:rsid w:val="00BE4661"/>
    <w:rsid w:val="00BE6023"/>
    <w:rsid w:val="00BE6979"/>
    <w:rsid w:val="00BF36BA"/>
    <w:rsid w:val="00BF4973"/>
    <w:rsid w:val="00BF539A"/>
    <w:rsid w:val="00BF5F4D"/>
    <w:rsid w:val="00BF754E"/>
    <w:rsid w:val="00C03130"/>
    <w:rsid w:val="00C03834"/>
    <w:rsid w:val="00C03C6D"/>
    <w:rsid w:val="00C062D3"/>
    <w:rsid w:val="00C06383"/>
    <w:rsid w:val="00C06FA7"/>
    <w:rsid w:val="00C101AF"/>
    <w:rsid w:val="00C10DDD"/>
    <w:rsid w:val="00C11E4E"/>
    <w:rsid w:val="00C12A72"/>
    <w:rsid w:val="00C12AFA"/>
    <w:rsid w:val="00C14652"/>
    <w:rsid w:val="00C17545"/>
    <w:rsid w:val="00C22DBE"/>
    <w:rsid w:val="00C25D69"/>
    <w:rsid w:val="00C305FF"/>
    <w:rsid w:val="00C331E2"/>
    <w:rsid w:val="00C34E97"/>
    <w:rsid w:val="00C36698"/>
    <w:rsid w:val="00C37DA6"/>
    <w:rsid w:val="00C4001A"/>
    <w:rsid w:val="00C41353"/>
    <w:rsid w:val="00C416DA"/>
    <w:rsid w:val="00C42EC8"/>
    <w:rsid w:val="00C43219"/>
    <w:rsid w:val="00C43734"/>
    <w:rsid w:val="00C44837"/>
    <w:rsid w:val="00C46299"/>
    <w:rsid w:val="00C473B7"/>
    <w:rsid w:val="00C47465"/>
    <w:rsid w:val="00C52501"/>
    <w:rsid w:val="00C527E6"/>
    <w:rsid w:val="00C55215"/>
    <w:rsid w:val="00C55601"/>
    <w:rsid w:val="00C57E9B"/>
    <w:rsid w:val="00C6313F"/>
    <w:rsid w:val="00C64BA7"/>
    <w:rsid w:val="00C6629A"/>
    <w:rsid w:val="00C6718A"/>
    <w:rsid w:val="00C67863"/>
    <w:rsid w:val="00C71198"/>
    <w:rsid w:val="00C7370E"/>
    <w:rsid w:val="00C75019"/>
    <w:rsid w:val="00C7610C"/>
    <w:rsid w:val="00C76830"/>
    <w:rsid w:val="00C7709B"/>
    <w:rsid w:val="00C772E1"/>
    <w:rsid w:val="00C80EC9"/>
    <w:rsid w:val="00C8178B"/>
    <w:rsid w:val="00C825C5"/>
    <w:rsid w:val="00C8362E"/>
    <w:rsid w:val="00C83C93"/>
    <w:rsid w:val="00C8503A"/>
    <w:rsid w:val="00C86007"/>
    <w:rsid w:val="00C870FC"/>
    <w:rsid w:val="00C908C0"/>
    <w:rsid w:val="00C90CDD"/>
    <w:rsid w:val="00C9149B"/>
    <w:rsid w:val="00C924E8"/>
    <w:rsid w:val="00C93507"/>
    <w:rsid w:val="00C972DA"/>
    <w:rsid w:val="00C97F35"/>
    <w:rsid w:val="00CA23A9"/>
    <w:rsid w:val="00CA2477"/>
    <w:rsid w:val="00CA24AF"/>
    <w:rsid w:val="00CA2A2D"/>
    <w:rsid w:val="00CA4D9D"/>
    <w:rsid w:val="00CA6FF7"/>
    <w:rsid w:val="00CB5AED"/>
    <w:rsid w:val="00CB61FD"/>
    <w:rsid w:val="00CB730B"/>
    <w:rsid w:val="00CB786D"/>
    <w:rsid w:val="00CC0F32"/>
    <w:rsid w:val="00CC2679"/>
    <w:rsid w:val="00CC3B1E"/>
    <w:rsid w:val="00CC6C50"/>
    <w:rsid w:val="00CD16CD"/>
    <w:rsid w:val="00CD36DE"/>
    <w:rsid w:val="00CD4C5B"/>
    <w:rsid w:val="00CD5137"/>
    <w:rsid w:val="00CD74B6"/>
    <w:rsid w:val="00CE11EE"/>
    <w:rsid w:val="00CE139C"/>
    <w:rsid w:val="00CE1C02"/>
    <w:rsid w:val="00CE4CA7"/>
    <w:rsid w:val="00CE7B57"/>
    <w:rsid w:val="00CE7F2A"/>
    <w:rsid w:val="00CF0141"/>
    <w:rsid w:val="00CF0C08"/>
    <w:rsid w:val="00CF2A74"/>
    <w:rsid w:val="00CF3380"/>
    <w:rsid w:val="00CF3832"/>
    <w:rsid w:val="00CF3ED7"/>
    <w:rsid w:val="00CF56D5"/>
    <w:rsid w:val="00CF589F"/>
    <w:rsid w:val="00CF631D"/>
    <w:rsid w:val="00CF788D"/>
    <w:rsid w:val="00D002DB"/>
    <w:rsid w:val="00D0312C"/>
    <w:rsid w:val="00D0390F"/>
    <w:rsid w:val="00D04ED1"/>
    <w:rsid w:val="00D05E20"/>
    <w:rsid w:val="00D1029C"/>
    <w:rsid w:val="00D11CAF"/>
    <w:rsid w:val="00D12CC2"/>
    <w:rsid w:val="00D141F5"/>
    <w:rsid w:val="00D14483"/>
    <w:rsid w:val="00D20AAC"/>
    <w:rsid w:val="00D23477"/>
    <w:rsid w:val="00D23EA2"/>
    <w:rsid w:val="00D24E84"/>
    <w:rsid w:val="00D255B2"/>
    <w:rsid w:val="00D259FA"/>
    <w:rsid w:val="00D264C1"/>
    <w:rsid w:val="00D266F8"/>
    <w:rsid w:val="00D26742"/>
    <w:rsid w:val="00D26DA3"/>
    <w:rsid w:val="00D27256"/>
    <w:rsid w:val="00D27767"/>
    <w:rsid w:val="00D2794A"/>
    <w:rsid w:val="00D30D0D"/>
    <w:rsid w:val="00D31A61"/>
    <w:rsid w:val="00D32304"/>
    <w:rsid w:val="00D340C4"/>
    <w:rsid w:val="00D34CE5"/>
    <w:rsid w:val="00D403B7"/>
    <w:rsid w:val="00D409FB"/>
    <w:rsid w:val="00D40B6B"/>
    <w:rsid w:val="00D43FDF"/>
    <w:rsid w:val="00D453EA"/>
    <w:rsid w:val="00D4612D"/>
    <w:rsid w:val="00D46D74"/>
    <w:rsid w:val="00D4781C"/>
    <w:rsid w:val="00D54D02"/>
    <w:rsid w:val="00D55DE6"/>
    <w:rsid w:val="00D560BE"/>
    <w:rsid w:val="00D56726"/>
    <w:rsid w:val="00D56DB3"/>
    <w:rsid w:val="00D61EFA"/>
    <w:rsid w:val="00D65398"/>
    <w:rsid w:val="00D67B0B"/>
    <w:rsid w:val="00D67CA7"/>
    <w:rsid w:val="00D70888"/>
    <w:rsid w:val="00D73602"/>
    <w:rsid w:val="00D738C7"/>
    <w:rsid w:val="00D74F53"/>
    <w:rsid w:val="00D7730B"/>
    <w:rsid w:val="00D80912"/>
    <w:rsid w:val="00D8133E"/>
    <w:rsid w:val="00D818E7"/>
    <w:rsid w:val="00D83C10"/>
    <w:rsid w:val="00D84AC6"/>
    <w:rsid w:val="00D857CC"/>
    <w:rsid w:val="00D86E60"/>
    <w:rsid w:val="00D8772E"/>
    <w:rsid w:val="00D914D5"/>
    <w:rsid w:val="00D92C55"/>
    <w:rsid w:val="00D935D1"/>
    <w:rsid w:val="00D94BEB"/>
    <w:rsid w:val="00D96FBB"/>
    <w:rsid w:val="00D97A97"/>
    <w:rsid w:val="00DA35A2"/>
    <w:rsid w:val="00DA7E79"/>
    <w:rsid w:val="00DB6FC1"/>
    <w:rsid w:val="00DB71BD"/>
    <w:rsid w:val="00DC04AF"/>
    <w:rsid w:val="00DC06CD"/>
    <w:rsid w:val="00DC1A62"/>
    <w:rsid w:val="00DC26DA"/>
    <w:rsid w:val="00DC430D"/>
    <w:rsid w:val="00DC58C6"/>
    <w:rsid w:val="00DC590D"/>
    <w:rsid w:val="00DC7823"/>
    <w:rsid w:val="00DD1951"/>
    <w:rsid w:val="00DD1D6C"/>
    <w:rsid w:val="00DD2CFD"/>
    <w:rsid w:val="00DD580F"/>
    <w:rsid w:val="00DD64BE"/>
    <w:rsid w:val="00DD6EC9"/>
    <w:rsid w:val="00DE25D8"/>
    <w:rsid w:val="00DE3EFB"/>
    <w:rsid w:val="00DE497B"/>
    <w:rsid w:val="00DE4CBC"/>
    <w:rsid w:val="00DE5721"/>
    <w:rsid w:val="00DE59C9"/>
    <w:rsid w:val="00DE79D5"/>
    <w:rsid w:val="00DF15C5"/>
    <w:rsid w:val="00DF4FA0"/>
    <w:rsid w:val="00DF70E5"/>
    <w:rsid w:val="00E00B77"/>
    <w:rsid w:val="00E01B3E"/>
    <w:rsid w:val="00E03322"/>
    <w:rsid w:val="00E03D48"/>
    <w:rsid w:val="00E06655"/>
    <w:rsid w:val="00E10539"/>
    <w:rsid w:val="00E1125B"/>
    <w:rsid w:val="00E11759"/>
    <w:rsid w:val="00E120A2"/>
    <w:rsid w:val="00E148D2"/>
    <w:rsid w:val="00E15684"/>
    <w:rsid w:val="00E16540"/>
    <w:rsid w:val="00E16F3D"/>
    <w:rsid w:val="00E1719D"/>
    <w:rsid w:val="00E17203"/>
    <w:rsid w:val="00E17446"/>
    <w:rsid w:val="00E20243"/>
    <w:rsid w:val="00E213AB"/>
    <w:rsid w:val="00E21407"/>
    <w:rsid w:val="00E21BD7"/>
    <w:rsid w:val="00E242EC"/>
    <w:rsid w:val="00E2544C"/>
    <w:rsid w:val="00E2604C"/>
    <w:rsid w:val="00E263CA"/>
    <w:rsid w:val="00E275B8"/>
    <w:rsid w:val="00E30025"/>
    <w:rsid w:val="00E30736"/>
    <w:rsid w:val="00E30AEA"/>
    <w:rsid w:val="00E34D30"/>
    <w:rsid w:val="00E3507E"/>
    <w:rsid w:val="00E37F15"/>
    <w:rsid w:val="00E41279"/>
    <w:rsid w:val="00E41791"/>
    <w:rsid w:val="00E42444"/>
    <w:rsid w:val="00E447D8"/>
    <w:rsid w:val="00E44A4A"/>
    <w:rsid w:val="00E44A88"/>
    <w:rsid w:val="00E45574"/>
    <w:rsid w:val="00E46AA9"/>
    <w:rsid w:val="00E47D73"/>
    <w:rsid w:val="00E47D7D"/>
    <w:rsid w:val="00E502F6"/>
    <w:rsid w:val="00E5081F"/>
    <w:rsid w:val="00E5482E"/>
    <w:rsid w:val="00E55D6D"/>
    <w:rsid w:val="00E57ECC"/>
    <w:rsid w:val="00E61939"/>
    <w:rsid w:val="00E61C27"/>
    <w:rsid w:val="00E62D62"/>
    <w:rsid w:val="00E634B6"/>
    <w:rsid w:val="00E63580"/>
    <w:rsid w:val="00E63C34"/>
    <w:rsid w:val="00E640AD"/>
    <w:rsid w:val="00E66365"/>
    <w:rsid w:val="00E6707B"/>
    <w:rsid w:val="00E81D3A"/>
    <w:rsid w:val="00E827B9"/>
    <w:rsid w:val="00E8592A"/>
    <w:rsid w:val="00E85A47"/>
    <w:rsid w:val="00E85ECF"/>
    <w:rsid w:val="00E8668B"/>
    <w:rsid w:val="00E870EA"/>
    <w:rsid w:val="00E87543"/>
    <w:rsid w:val="00E90BC0"/>
    <w:rsid w:val="00E910E1"/>
    <w:rsid w:val="00E94F1A"/>
    <w:rsid w:val="00E95B1B"/>
    <w:rsid w:val="00E96382"/>
    <w:rsid w:val="00EA0ACA"/>
    <w:rsid w:val="00EA0FFE"/>
    <w:rsid w:val="00EA1381"/>
    <w:rsid w:val="00EA3FE7"/>
    <w:rsid w:val="00EA4CBD"/>
    <w:rsid w:val="00EA606B"/>
    <w:rsid w:val="00EA631E"/>
    <w:rsid w:val="00EA7E02"/>
    <w:rsid w:val="00EB1283"/>
    <w:rsid w:val="00EB1E27"/>
    <w:rsid w:val="00EB3484"/>
    <w:rsid w:val="00EB4414"/>
    <w:rsid w:val="00EB4F26"/>
    <w:rsid w:val="00EB739B"/>
    <w:rsid w:val="00EB7DAE"/>
    <w:rsid w:val="00EC32A1"/>
    <w:rsid w:val="00ED1548"/>
    <w:rsid w:val="00ED370C"/>
    <w:rsid w:val="00ED3B72"/>
    <w:rsid w:val="00ED416D"/>
    <w:rsid w:val="00ED566E"/>
    <w:rsid w:val="00ED6041"/>
    <w:rsid w:val="00ED6D69"/>
    <w:rsid w:val="00ED6EA4"/>
    <w:rsid w:val="00ED7F1D"/>
    <w:rsid w:val="00EE1DD9"/>
    <w:rsid w:val="00EE2C7B"/>
    <w:rsid w:val="00EE3649"/>
    <w:rsid w:val="00EE39E1"/>
    <w:rsid w:val="00EE53AC"/>
    <w:rsid w:val="00EE6A3E"/>
    <w:rsid w:val="00EE7129"/>
    <w:rsid w:val="00EF01A7"/>
    <w:rsid w:val="00EF48D2"/>
    <w:rsid w:val="00EF5CF2"/>
    <w:rsid w:val="00EF61D7"/>
    <w:rsid w:val="00F0237A"/>
    <w:rsid w:val="00F05EB9"/>
    <w:rsid w:val="00F06B22"/>
    <w:rsid w:val="00F07682"/>
    <w:rsid w:val="00F104CC"/>
    <w:rsid w:val="00F11753"/>
    <w:rsid w:val="00F11A65"/>
    <w:rsid w:val="00F12914"/>
    <w:rsid w:val="00F16FD9"/>
    <w:rsid w:val="00F17F2B"/>
    <w:rsid w:val="00F21075"/>
    <w:rsid w:val="00F2166A"/>
    <w:rsid w:val="00F23332"/>
    <w:rsid w:val="00F24DE4"/>
    <w:rsid w:val="00F272EB"/>
    <w:rsid w:val="00F316CA"/>
    <w:rsid w:val="00F34F09"/>
    <w:rsid w:val="00F35667"/>
    <w:rsid w:val="00F3704B"/>
    <w:rsid w:val="00F3744F"/>
    <w:rsid w:val="00F407E1"/>
    <w:rsid w:val="00F410F3"/>
    <w:rsid w:val="00F419E2"/>
    <w:rsid w:val="00F42A54"/>
    <w:rsid w:val="00F42AB2"/>
    <w:rsid w:val="00F42D0F"/>
    <w:rsid w:val="00F476B4"/>
    <w:rsid w:val="00F50350"/>
    <w:rsid w:val="00F53615"/>
    <w:rsid w:val="00F539A9"/>
    <w:rsid w:val="00F53DEC"/>
    <w:rsid w:val="00F5571C"/>
    <w:rsid w:val="00F5627C"/>
    <w:rsid w:val="00F57B3E"/>
    <w:rsid w:val="00F65A1A"/>
    <w:rsid w:val="00F70341"/>
    <w:rsid w:val="00F718C4"/>
    <w:rsid w:val="00F75167"/>
    <w:rsid w:val="00F76617"/>
    <w:rsid w:val="00F76E9A"/>
    <w:rsid w:val="00F77993"/>
    <w:rsid w:val="00F805DC"/>
    <w:rsid w:val="00F806AE"/>
    <w:rsid w:val="00F81098"/>
    <w:rsid w:val="00F8361B"/>
    <w:rsid w:val="00F83FBD"/>
    <w:rsid w:val="00F84A13"/>
    <w:rsid w:val="00F84DE1"/>
    <w:rsid w:val="00F8561B"/>
    <w:rsid w:val="00F85EF6"/>
    <w:rsid w:val="00F86F9D"/>
    <w:rsid w:val="00F9120D"/>
    <w:rsid w:val="00F92D28"/>
    <w:rsid w:val="00F93EB5"/>
    <w:rsid w:val="00F95C8B"/>
    <w:rsid w:val="00F964E5"/>
    <w:rsid w:val="00F975A4"/>
    <w:rsid w:val="00FA08A5"/>
    <w:rsid w:val="00FA0B1B"/>
    <w:rsid w:val="00FA1E86"/>
    <w:rsid w:val="00FA41E7"/>
    <w:rsid w:val="00FA538F"/>
    <w:rsid w:val="00FA6A89"/>
    <w:rsid w:val="00FB185E"/>
    <w:rsid w:val="00FB3C7D"/>
    <w:rsid w:val="00FB4C70"/>
    <w:rsid w:val="00FC0542"/>
    <w:rsid w:val="00FC2B51"/>
    <w:rsid w:val="00FC2FE9"/>
    <w:rsid w:val="00FC3017"/>
    <w:rsid w:val="00FC3F5D"/>
    <w:rsid w:val="00FC488A"/>
    <w:rsid w:val="00FD03F4"/>
    <w:rsid w:val="00FD1AE0"/>
    <w:rsid w:val="00FD21F7"/>
    <w:rsid w:val="00FD2F2D"/>
    <w:rsid w:val="00FD41BA"/>
    <w:rsid w:val="00FD4432"/>
    <w:rsid w:val="00FD4BC9"/>
    <w:rsid w:val="00FD50A2"/>
    <w:rsid w:val="00FD72DC"/>
    <w:rsid w:val="00FE12E2"/>
    <w:rsid w:val="00FE2F6E"/>
    <w:rsid w:val="00FE33E3"/>
    <w:rsid w:val="00FE352E"/>
    <w:rsid w:val="00FE36D2"/>
    <w:rsid w:val="00FE4194"/>
    <w:rsid w:val="00FE4EBD"/>
    <w:rsid w:val="00FE5778"/>
    <w:rsid w:val="00FE5B40"/>
    <w:rsid w:val="00FE644D"/>
    <w:rsid w:val="00FE6466"/>
    <w:rsid w:val="00FE6AB3"/>
    <w:rsid w:val="00FE72FB"/>
    <w:rsid w:val="00FE7349"/>
    <w:rsid w:val="00FE7EAD"/>
    <w:rsid w:val="00FF19EF"/>
    <w:rsid w:val="00FF1BB2"/>
    <w:rsid w:val="00FF1CC6"/>
    <w:rsid w:val="00FF32F4"/>
    <w:rsid w:val="00FF557A"/>
    <w:rsid w:val="00FF78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B4"/>
    <w:rPr>
      <w:sz w:val="24"/>
      <w:szCs w:val="24"/>
    </w:rPr>
  </w:style>
  <w:style w:type="paragraph" w:styleId="Heading1">
    <w:name w:val="heading 1"/>
    <w:basedOn w:val="Normal"/>
    <w:next w:val="Normal"/>
    <w:link w:val="Heading1Char"/>
    <w:qFormat/>
    <w:rsid w:val="00B93D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B1CB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A4E8E"/>
    <w:pPr>
      <w:keepNext/>
      <w:ind w:left="540" w:hanging="540"/>
      <w:outlineLvl w:val="2"/>
    </w:pPr>
    <w:rPr>
      <w:b/>
      <w:szCs w:val="20"/>
    </w:rPr>
  </w:style>
  <w:style w:type="paragraph" w:styleId="Heading4">
    <w:name w:val="heading 4"/>
    <w:basedOn w:val="Normal"/>
    <w:next w:val="Normal"/>
    <w:link w:val="Heading4Char"/>
    <w:semiHidden/>
    <w:unhideWhenUsed/>
    <w:qFormat/>
    <w:rsid w:val="00E00B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D94"/>
    <w:rPr>
      <w:rFonts w:ascii="Tahoma" w:hAnsi="Tahoma" w:cs="Tahoma"/>
      <w:sz w:val="16"/>
      <w:szCs w:val="16"/>
    </w:rPr>
  </w:style>
  <w:style w:type="paragraph" w:styleId="BodyTextIndent">
    <w:name w:val="Body Text Indent"/>
    <w:basedOn w:val="Normal"/>
    <w:rsid w:val="00E85ECF"/>
    <w:pPr>
      <w:ind w:left="2160" w:hanging="720"/>
      <w:jc w:val="both"/>
    </w:pPr>
  </w:style>
  <w:style w:type="paragraph" w:styleId="BodyTextIndent2">
    <w:name w:val="Body Text Indent 2"/>
    <w:basedOn w:val="Normal"/>
    <w:rsid w:val="00ED6EA4"/>
    <w:pPr>
      <w:spacing w:after="120" w:line="480" w:lineRule="auto"/>
      <w:ind w:left="360"/>
    </w:pPr>
    <w:rPr>
      <w:szCs w:val="20"/>
    </w:rPr>
  </w:style>
  <w:style w:type="paragraph" w:styleId="Header">
    <w:name w:val="header"/>
    <w:basedOn w:val="Normal"/>
    <w:rsid w:val="00E11759"/>
    <w:pPr>
      <w:tabs>
        <w:tab w:val="center" w:pos="4320"/>
        <w:tab w:val="right" w:pos="8640"/>
      </w:tabs>
    </w:pPr>
  </w:style>
  <w:style w:type="paragraph" w:styleId="Footer">
    <w:name w:val="footer"/>
    <w:basedOn w:val="Normal"/>
    <w:rsid w:val="00E11759"/>
    <w:pPr>
      <w:tabs>
        <w:tab w:val="center" w:pos="4320"/>
        <w:tab w:val="right" w:pos="8640"/>
      </w:tabs>
    </w:pPr>
  </w:style>
  <w:style w:type="character" w:styleId="PageNumber">
    <w:name w:val="page number"/>
    <w:basedOn w:val="DefaultParagraphFont"/>
    <w:rsid w:val="00E11759"/>
  </w:style>
  <w:style w:type="paragraph" w:styleId="BodyText">
    <w:name w:val="Body Text"/>
    <w:basedOn w:val="Normal"/>
    <w:link w:val="BodyTextChar"/>
    <w:rsid w:val="00F419E2"/>
    <w:pPr>
      <w:spacing w:after="120"/>
    </w:pPr>
  </w:style>
  <w:style w:type="character" w:customStyle="1" w:styleId="BodyTextChar">
    <w:name w:val="Body Text Char"/>
    <w:basedOn w:val="DefaultParagraphFont"/>
    <w:link w:val="BodyText"/>
    <w:rsid w:val="00F419E2"/>
    <w:rPr>
      <w:sz w:val="24"/>
      <w:szCs w:val="24"/>
    </w:rPr>
  </w:style>
  <w:style w:type="character" w:customStyle="1" w:styleId="Heading1Char">
    <w:name w:val="Heading 1 Char"/>
    <w:basedOn w:val="DefaultParagraphFont"/>
    <w:link w:val="Heading1"/>
    <w:rsid w:val="00B93DE8"/>
    <w:rPr>
      <w:rFonts w:ascii="Cambria" w:eastAsia="Times New Roman" w:hAnsi="Cambria" w:cs="Times New Roman"/>
      <w:b/>
      <w:bCs/>
      <w:kern w:val="32"/>
      <w:sz w:val="32"/>
      <w:szCs w:val="32"/>
    </w:rPr>
  </w:style>
  <w:style w:type="paragraph" w:customStyle="1" w:styleId="sectind">
    <w:name w:val="sectind"/>
    <w:basedOn w:val="Normal"/>
    <w:rsid w:val="00D857CC"/>
    <w:pPr>
      <w:spacing w:before="100" w:beforeAutospacing="1" w:after="100" w:afterAutospacing="1"/>
    </w:pPr>
  </w:style>
  <w:style w:type="paragraph" w:styleId="NormalWeb">
    <w:name w:val="Normal (Web)"/>
    <w:basedOn w:val="Normal"/>
    <w:rsid w:val="003411DE"/>
    <w:pPr>
      <w:spacing w:before="100" w:beforeAutospacing="1" w:after="100" w:afterAutospacing="1"/>
    </w:pPr>
  </w:style>
  <w:style w:type="character" w:styleId="Hyperlink">
    <w:name w:val="Hyperlink"/>
    <w:basedOn w:val="DefaultParagraphFont"/>
    <w:uiPriority w:val="99"/>
    <w:rsid w:val="005364CE"/>
    <w:rPr>
      <w:color w:val="0000FF"/>
      <w:u w:val="single"/>
    </w:rPr>
  </w:style>
  <w:style w:type="table" w:styleId="TableGrid">
    <w:name w:val="Table Grid"/>
    <w:basedOn w:val="TableNormal"/>
    <w:rsid w:val="00E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Bullets"/>
    <w:basedOn w:val="Normal"/>
    <w:link w:val="ListParagraphChar"/>
    <w:uiPriority w:val="34"/>
    <w:qFormat/>
    <w:rsid w:val="00121B83"/>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E10539"/>
    <w:rPr>
      <w:rFonts w:ascii="Tahoma" w:eastAsia="Calibri" w:hAnsi="Tahoma" w:cs="Tahoma"/>
      <w:sz w:val="20"/>
      <w:szCs w:val="20"/>
    </w:rPr>
  </w:style>
  <w:style w:type="character" w:customStyle="1" w:styleId="PlainTextChar">
    <w:name w:val="Plain Text Char"/>
    <w:basedOn w:val="DefaultParagraphFont"/>
    <w:link w:val="PlainText"/>
    <w:uiPriority w:val="99"/>
    <w:rsid w:val="00E10539"/>
    <w:rPr>
      <w:rFonts w:ascii="Tahoma" w:eastAsia="Calibri" w:hAnsi="Tahoma" w:cs="Tahoma"/>
    </w:rPr>
  </w:style>
  <w:style w:type="paragraph" w:styleId="BodyTextIndent3">
    <w:name w:val="Body Text Indent 3"/>
    <w:basedOn w:val="Normal"/>
    <w:link w:val="BodyTextIndent3Char"/>
    <w:rsid w:val="001D3421"/>
    <w:pPr>
      <w:spacing w:after="120"/>
      <w:ind w:left="360"/>
    </w:pPr>
    <w:rPr>
      <w:sz w:val="16"/>
      <w:szCs w:val="16"/>
    </w:rPr>
  </w:style>
  <w:style w:type="character" w:customStyle="1" w:styleId="BodyTextIndent3Char">
    <w:name w:val="Body Text Indent 3 Char"/>
    <w:basedOn w:val="DefaultParagraphFont"/>
    <w:link w:val="BodyTextIndent3"/>
    <w:rsid w:val="001D3421"/>
    <w:rPr>
      <w:sz w:val="16"/>
      <w:szCs w:val="16"/>
    </w:rPr>
  </w:style>
  <w:style w:type="character" w:customStyle="1" w:styleId="BalloonTextChar">
    <w:name w:val="Balloon Text Char"/>
    <w:basedOn w:val="DefaultParagraphFont"/>
    <w:link w:val="BalloonText"/>
    <w:uiPriority w:val="99"/>
    <w:semiHidden/>
    <w:rsid w:val="009C4E79"/>
    <w:rPr>
      <w:rFonts w:ascii="Tahoma" w:hAnsi="Tahoma" w:cs="Tahoma"/>
      <w:sz w:val="16"/>
      <w:szCs w:val="16"/>
    </w:rPr>
  </w:style>
  <w:style w:type="paragraph" w:styleId="NoSpacing">
    <w:name w:val="No Spacing"/>
    <w:uiPriority w:val="1"/>
    <w:qFormat/>
    <w:rsid w:val="006D40CC"/>
    <w:rPr>
      <w:rFonts w:ascii="Calibri" w:eastAsia="Calibri" w:hAnsi="Calibri"/>
      <w:sz w:val="22"/>
      <w:szCs w:val="22"/>
    </w:rPr>
  </w:style>
  <w:style w:type="character" w:customStyle="1" w:styleId="Heading4Char">
    <w:name w:val="Heading 4 Char"/>
    <w:basedOn w:val="DefaultParagraphFont"/>
    <w:link w:val="Heading4"/>
    <w:semiHidden/>
    <w:rsid w:val="00E00B77"/>
    <w:rPr>
      <w:rFonts w:ascii="Calibri" w:eastAsia="Times New Roman" w:hAnsi="Calibri" w:cs="Times New Roman"/>
      <w:b/>
      <w:bCs/>
      <w:sz w:val="28"/>
      <w:szCs w:val="28"/>
    </w:rPr>
  </w:style>
  <w:style w:type="character" w:customStyle="1" w:styleId="Heading2Char">
    <w:name w:val="Heading 2 Char"/>
    <w:basedOn w:val="DefaultParagraphFont"/>
    <w:link w:val="Heading2"/>
    <w:semiHidden/>
    <w:rsid w:val="003B1CB8"/>
    <w:rPr>
      <w:rFonts w:ascii="Cambria" w:hAnsi="Cambria"/>
      <w:b/>
      <w:bCs/>
      <w:i/>
      <w:iCs/>
      <w:sz w:val="28"/>
      <w:szCs w:val="28"/>
    </w:rPr>
  </w:style>
  <w:style w:type="paragraph" w:styleId="DocumentMap">
    <w:name w:val="Document Map"/>
    <w:basedOn w:val="Normal"/>
    <w:link w:val="DocumentMapChar"/>
    <w:rsid w:val="00EC32A1"/>
    <w:rPr>
      <w:rFonts w:ascii="Tahoma" w:hAnsi="Tahoma" w:cs="Tahoma"/>
      <w:sz w:val="16"/>
      <w:szCs w:val="16"/>
    </w:rPr>
  </w:style>
  <w:style w:type="character" w:customStyle="1" w:styleId="DocumentMapChar">
    <w:name w:val="Document Map Char"/>
    <w:basedOn w:val="DefaultParagraphFont"/>
    <w:link w:val="DocumentMap"/>
    <w:rsid w:val="00EC32A1"/>
    <w:rPr>
      <w:rFonts w:ascii="Tahoma" w:hAnsi="Tahoma" w:cs="Tahoma"/>
      <w:sz w:val="16"/>
      <w:szCs w:val="16"/>
    </w:rPr>
  </w:style>
  <w:style w:type="paragraph" w:customStyle="1" w:styleId="Default">
    <w:name w:val="Default"/>
    <w:rsid w:val="0054797A"/>
    <w:pPr>
      <w:autoSpaceDE w:val="0"/>
      <w:autoSpaceDN w:val="0"/>
      <w:adjustRightInd w:val="0"/>
    </w:pPr>
    <w:rPr>
      <w:color w:val="000000"/>
      <w:sz w:val="24"/>
      <w:szCs w:val="24"/>
    </w:rPr>
  </w:style>
  <w:style w:type="character" w:customStyle="1" w:styleId="ListParagraphChar">
    <w:name w:val="List Paragraph Char"/>
    <w:aliases w:val="L1 Char,Bullets Char"/>
    <w:link w:val="ListParagraph"/>
    <w:uiPriority w:val="34"/>
    <w:locked/>
    <w:rsid w:val="00A62C06"/>
    <w:rPr>
      <w:rFonts w:ascii="Calibri" w:hAnsi="Calibri"/>
      <w:sz w:val="22"/>
      <w:szCs w:val="22"/>
    </w:rPr>
  </w:style>
  <w:style w:type="character" w:styleId="CommentReference">
    <w:name w:val="annotation reference"/>
    <w:basedOn w:val="DefaultParagraphFont"/>
    <w:semiHidden/>
    <w:unhideWhenUsed/>
    <w:rsid w:val="00B71B3F"/>
    <w:rPr>
      <w:sz w:val="16"/>
      <w:szCs w:val="16"/>
    </w:rPr>
  </w:style>
  <w:style w:type="paragraph" w:styleId="CommentText">
    <w:name w:val="annotation text"/>
    <w:basedOn w:val="Normal"/>
    <w:link w:val="CommentTextChar"/>
    <w:semiHidden/>
    <w:unhideWhenUsed/>
    <w:rsid w:val="00B71B3F"/>
    <w:rPr>
      <w:sz w:val="20"/>
      <w:szCs w:val="20"/>
    </w:rPr>
  </w:style>
  <w:style w:type="character" w:customStyle="1" w:styleId="CommentTextChar">
    <w:name w:val="Comment Text Char"/>
    <w:basedOn w:val="DefaultParagraphFont"/>
    <w:link w:val="CommentText"/>
    <w:semiHidden/>
    <w:rsid w:val="00B71B3F"/>
  </w:style>
  <w:style w:type="paragraph" w:styleId="CommentSubject">
    <w:name w:val="annotation subject"/>
    <w:basedOn w:val="CommentText"/>
    <w:next w:val="CommentText"/>
    <w:link w:val="CommentSubjectChar"/>
    <w:semiHidden/>
    <w:unhideWhenUsed/>
    <w:rsid w:val="00B71B3F"/>
    <w:rPr>
      <w:b/>
      <w:bCs/>
    </w:rPr>
  </w:style>
  <w:style w:type="character" w:customStyle="1" w:styleId="CommentSubjectChar">
    <w:name w:val="Comment Subject Char"/>
    <w:basedOn w:val="CommentTextChar"/>
    <w:link w:val="CommentSubject"/>
    <w:semiHidden/>
    <w:rsid w:val="00B71B3F"/>
    <w:rPr>
      <w:b/>
      <w:bCs/>
    </w:rPr>
  </w:style>
  <w:style w:type="paragraph" w:styleId="Revision">
    <w:name w:val="Revision"/>
    <w:hidden/>
    <w:uiPriority w:val="99"/>
    <w:semiHidden/>
    <w:rsid w:val="00513C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B4"/>
    <w:rPr>
      <w:sz w:val="24"/>
      <w:szCs w:val="24"/>
    </w:rPr>
  </w:style>
  <w:style w:type="paragraph" w:styleId="Heading1">
    <w:name w:val="heading 1"/>
    <w:basedOn w:val="Normal"/>
    <w:next w:val="Normal"/>
    <w:link w:val="Heading1Char"/>
    <w:qFormat/>
    <w:rsid w:val="00B93D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B1CB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A4E8E"/>
    <w:pPr>
      <w:keepNext/>
      <w:ind w:left="540" w:hanging="540"/>
      <w:outlineLvl w:val="2"/>
    </w:pPr>
    <w:rPr>
      <w:b/>
      <w:szCs w:val="20"/>
    </w:rPr>
  </w:style>
  <w:style w:type="paragraph" w:styleId="Heading4">
    <w:name w:val="heading 4"/>
    <w:basedOn w:val="Normal"/>
    <w:next w:val="Normal"/>
    <w:link w:val="Heading4Char"/>
    <w:semiHidden/>
    <w:unhideWhenUsed/>
    <w:qFormat/>
    <w:rsid w:val="00E00B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D94"/>
    <w:rPr>
      <w:rFonts w:ascii="Tahoma" w:hAnsi="Tahoma" w:cs="Tahoma"/>
      <w:sz w:val="16"/>
      <w:szCs w:val="16"/>
    </w:rPr>
  </w:style>
  <w:style w:type="paragraph" w:styleId="BodyTextIndent">
    <w:name w:val="Body Text Indent"/>
    <w:basedOn w:val="Normal"/>
    <w:rsid w:val="00E85ECF"/>
    <w:pPr>
      <w:ind w:left="2160" w:hanging="720"/>
      <w:jc w:val="both"/>
    </w:pPr>
  </w:style>
  <w:style w:type="paragraph" w:styleId="BodyTextIndent2">
    <w:name w:val="Body Text Indent 2"/>
    <w:basedOn w:val="Normal"/>
    <w:rsid w:val="00ED6EA4"/>
    <w:pPr>
      <w:spacing w:after="120" w:line="480" w:lineRule="auto"/>
      <w:ind w:left="360"/>
    </w:pPr>
    <w:rPr>
      <w:szCs w:val="20"/>
    </w:rPr>
  </w:style>
  <w:style w:type="paragraph" w:styleId="Header">
    <w:name w:val="header"/>
    <w:basedOn w:val="Normal"/>
    <w:rsid w:val="00E11759"/>
    <w:pPr>
      <w:tabs>
        <w:tab w:val="center" w:pos="4320"/>
        <w:tab w:val="right" w:pos="8640"/>
      </w:tabs>
    </w:pPr>
  </w:style>
  <w:style w:type="paragraph" w:styleId="Footer">
    <w:name w:val="footer"/>
    <w:basedOn w:val="Normal"/>
    <w:rsid w:val="00E11759"/>
    <w:pPr>
      <w:tabs>
        <w:tab w:val="center" w:pos="4320"/>
        <w:tab w:val="right" w:pos="8640"/>
      </w:tabs>
    </w:pPr>
  </w:style>
  <w:style w:type="character" w:styleId="PageNumber">
    <w:name w:val="page number"/>
    <w:basedOn w:val="DefaultParagraphFont"/>
    <w:rsid w:val="00E11759"/>
  </w:style>
  <w:style w:type="paragraph" w:styleId="BodyText">
    <w:name w:val="Body Text"/>
    <w:basedOn w:val="Normal"/>
    <w:link w:val="BodyTextChar"/>
    <w:rsid w:val="00F419E2"/>
    <w:pPr>
      <w:spacing w:after="120"/>
    </w:pPr>
  </w:style>
  <w:style w:type="character" w:customStyle="1" w:styleId="BodyTextChar">
    <w:name w:val="Body Text Char"/>
    <w:basedOn w:val="DefaultParagraphFont"/>
    <w:link w:val="BodyText"/>
    <w:rsid w:val="00F419E2"/>
    <w:rPr>
      <w:sz w:val="24"/>
      <w:szCs w:val="24"/>
    </w:rPr>
  </w:style>
  <w:style w:type="character" w:customStyle="1" w:styleId="Heading1Char">
    <w:name w:val="Heading 1 Char"/>
    <w:basedOn w:val="DefaultParagraphFont"/>
    <w:link w:val="Heading1"/>
    <w:rsid w:val="00B93DE8"/>
    <w:rPr>
      <w:rFonts w:ascii="Cambria" w:eastAsia="Times New Roman" w:hAnsi="Cambria" w:cs="Times New Roman"/>
      <w:b/>
      <w:bCs/>
      <w:kern w:val="32"/>
      <w:sz w:val="32"/>
      <w:szCs w:val="32"/>
    </w:rPr>
  </w:style>
  <w:style w:type="paragraph" w:customStyle="1" w:styleId="sectind">
    <w:name w:val="sectind"/>
    <w:basedOn w:val="Normal"/>
    <w:rsid w:val="00D857CC"/>
    <w:pPr>
      <w:spacing w:before="100" w:beforeAutospacing="1" w:after="100" w:afterAutospacing="1"/>
    </w:pPr>
  </w:style>
  <w:style w:type="paragraph" w:styleId="NormalWeb">
    <w:name w:val="Normal (Web)"/>
    <w:basedOn w:val="Normal"/>
    <w:rsid w:val="003411DE"/>
    <w:pPr>
      <w:spacing w:before="100" w:beforeAutospacing="1" w:after="100" w:afterAutospacing="1"/>
    </w:pPr>
  </w:style>
  <w:style w:type="character" w:styleId="Hyperlink">
    <w:name w:val="Hyperlink"/>
    <w:basedOn w:val="DefaultParagraphFont"/>
    <w:uiPriority w:val="99"/>
    <w:rsid w:val="005364CE"/>
    <w:rPr>
      <w:color w:val="0000FF"/>
      <w:u w:val="single"/>
    </w:rPr>
  </w:style>
  <w:style w:type="table" w:styleId="TableGrid">
    <w:name w:val="Table Grid"/>
    <w:basedOn w:val="TableNormal"/>
    <w:rsid w:val="00E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Bullets"/>
    <w:basedOn w:val="Normal"/>
    <w:link w:val="ListParagraphChar"/>
    <w:uiPriority w:val="34"/>
    <w:qFormat/>
    <w:rsid w:val="00121B83"/>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E10539"/>
    <w:rPr>
      <w:rFonts w:ascii="Tahoma" w:eastAsia="Calibri" w:hAnsi="Tahoma" w:cs="Tahoma"/>
      <w:sz w:val="20"/>
      <w:szCs w:val="20"/>
    </w:rPr>
  </w:style>
  <w:style w:type="character" w:customStyle="1" w:styleId="PlainTextChar">
    <w:name w:val="Plain Text Char"/>
    <w:basedOn w:val="DefaultParagraphFont"/>
    <w:link w:val="PlainText"/>
    <w:uiPriority w:val="99"/>
    <w:rsid w:val="00E10539"/>
    <w:rPr>
      <w:rFonts w:ascii="Tahoma" w:eastAsia="Calibri" w:hAnsi="Tahoma" w:cs="Tahoma"/>
    </w:rPr>
  </w:style>
  <w:style w:type="paragraph" w:styleId="BodyTextIndent3">
    <w:name w:val="Body Text Indent 3"/>
    <w:basedOn w:val="Normal"/>
    <w:link w:val="BodyTextIndent3Char"/>
    <w:rsid w:val="001D3421"/>
    <w:pPr>
      <w:spacing w:after="120"/>
      <w:ind w:left="360"/>
    </w:pPr>
    <w:rPr>
      <w:sz w:val="16"/>
      <w:szCs w:val="16"/>
    </w:rPr>
  </w:style>
  <w:style w:type="character" w:customStyle="1" w:styleId="BodyTextIndent3Char">
    <w:name w:val="Body Text Indent 3 Char"/>
    <w:basedOn w:val="DefaultParagraphFont"/>
    <w:link w:val="BodyTextIndent3"/>
    <w:rsid w:val="001D3421"/>
    <w:rPr>
      <w:sz w:val="16"/>
      <w:szCs w:val="16"/>
    </w:rPr>
  </w:style>
  <w:style w:type="character" w:customStyle="1" w:styleId="BalloonTextChar">
    <w:name w:val="Balloon Text Char"/>
    <w:basedOn w:val="DefaultParagraphFont"/>
    <w:link w:val="BalloonText"/>
    <w:uiPriority w:val="99"/>
    <w:semiHidden/>
    <w:rsid w:val="009C4E79"/>
    <w:rPr>
      <w:rFonts w:ascii="Tahoma" w:hAnsi="Tahoma" w:cs="Tahoma"/>
      <w:sz w:val="16"/>
      <w:szCs w:val="16"/>
    </w:rPr>
  </w:style>
  <w:style w:type="paragraph" w:styleId="NoSpacing">
    <w:name w:val="No Spacing"/>
    <w:uiPriority w:val="1"/>
    <w:qFormat/>
    <w:rsid w:val="006D40CC"/>
    <w:rPr>
      <w:rFonts w:ascii="Calibri" w:eastAsia="Calibri" w:hAnsi="Calibri"/>
      <w:sz w:val="22"/>
      <w:szCs w:val="22"/>
    </w:rPr>
  </w:style>
  <w:style w:type="character" w:customStyle="1" w:styleId="Heading4Char">
    <w:name w:val="Heading 4 Char"/>
    <w:basedOn w:val="DefaultParagraphFont"/>
    <w:link w:val="Heading4"/>
    <w:semiHidden/>
    <w:rsid w:val="00E00B77"/>
    <w:rPr>
      <w:rFonts w:ascii="Calibri" w:eastAsia="Times New Roman" w:hAnsi="Calibri" w:cs="Times New Roman"/>
      <w:b/>
      <w:bCs/>
      <w:sz w:val="28"/>
      <w:szCs w:val="28"/>
    </w:rPr>
  </w:style>
  <w:style w:type="character" w:customStyle="1" w:styleId="Heading2Char">
    <w:name w:val="Heading 2 Char"/>
    <w:basedOn w:val="DefaultParagraphFont"/>
    <w:link w:val="Heading2"/>
    <w:semiHidden/>
    <w:rsid w:val="003B1CB8"/>
    <w:rPr>
      <w:rFonts w:ascii="Cambria" w:hAnsi="Cambria"/>
      <w:b/>
      <w:bCs/>
      <w:i/>
      <w:iCs/>
      <w:sz w:val="28"/>
      <w:szCs w:val="28"/>
    </w:rPr>
  </w:style>
  <w:style w:type="paragraph" w:styleId="DocumentMap">
    <w:name w:val="Document Map"/>
    <w:basedOn w:val="Normal"/>
    <w:link w:val="DocumentMapChar"/>
    <w:rsid w:val="00EC32A1"/>
    <w:rPr>
      <w:rFonts w:ascii="Tahoma" w:hAnsi="Tahoma" w:cs="Tahoma"/>
      <w:sz w:val="16"/>
      <w:szCs w:val="16"/>
    </w:rPr>
  </w:style>
  <w:style w:type="character" w:customStyle="1" w:styleId="DocumentMapChar">
    <w:name w:val="Document Map Char"/>
    <w:basedOn w:val="DefaultParagraphFont"/>
    <w:link w:val="DocumentMap"/>
    <w:rsid w:val="00EC32A1"/>
    <w:rPr>
      <w:rFonts w:ascii="Tahoma" w:hAnsi="Tahoma" w:cs="Tahoma"/>
      <w:sz w:val="16"/>
      <w:szCs w:val="16"/>
    </w:rPr>
  </w:style>
  <w:style w:type="paragraph" w:customStyle="1" w:styleId="Default">
    <w:name w:val="Default"/>
    <w:rsid w:val="0054797A"/>
    <w:pPr>
      <w:autoSpaceDE w:val="0"/>
      <w:autoSpaceDN w:val="0"/>
      <w:adjustRightInd w:val="0"/>
    </w:pPr>
    <w:rPr>
      <w:color w:val="000000"/>
      <w:sz w:val="24"/>
      <w:szCs w:val="24"/>
    </w:rPr>
  </w:style>
  <w:style w:type="character" w:customStyle="1" w:styleId="ListParagraphChar">
    <w:name w:val="List Paragraph Char"/>
    <w:aliases w:val="L1 Char,Bullets Char"/>
    <w:link w:val="ListParagraph"/>
    <w:uiPriority w:val="34"/>
    <w:locked/>
    <w:rsid w:val="00A62C06"/>
    <w:rPr>
      <w:rFonts w:ascii="Calibri" w:hAnsi="Calibri"/>
      <w:sz w:val="22"/>
      <w:szCs w:val="22"/>
    </w:rPr>
  </w:style>
  <w:style w:type="character" w:styleId="CommentReference">
    <w:name w:val="annotation reference"/>
    <w:basedOn w:val="DefaultParagraphFont"/>
    <w:semiHidden/>
    <w:unhideWhenUsed/>
    <w:rsid w:val="00B71B3F"/>
    <w:rPr>
      <w:sz w:val="16"/>
      <w:szCs w:val="16"/>
    </w:rPr>
  </w:style>
  <w:style w:type="paragraph" w:styleId="CommentText">
    <w:name w:val="annotation text"/>
    <w:basedOn w:val="Normal"/>
    <w:link w:val="CommentTextChar"/>
    <w:semiHidden/>
    <w:unhideWhenUsed/>
    <w:rsid w:val="00B71B3F"/>
    <w:rPr>
      <w:sz w:val="20"/>
      <w:szCs w:val="20"/>
    </w:rPr>
  </w:style>
  <w:style w:type="character" w:customStyle="1" w:styleId="CommentTextChar">
    <w:name w:val="Comment Text Char"/>
    <w:basedOn w:val="DefaultParagraphFont"/>
    <w:link w:val="CommentText"/>
    <w:semiHidden/>
    <w:rsid w:val="00B71B3F"/>
  </w:style>
  <w:style w:type="paragraph" w:styleId="CommentSubject">
    <w:name w:val="annotation subject"/>
    <w:basedOn w:val="CommentText"/>
    <w:next w:val="CommentText"/>
    <w:link w:val="CommentSubjectChar"/>
    <w:semiHidden/>
    <w:unhideWhenUsed/>
    <w:rsid w:val="00B71B3F"/>
    <w:rPr>
      <w:b/>
      <w:bCs/>
    </w:rPr>
  </w:style>
  <w:style w:type="character" w:customStyle="1" w:styleId="CommentSubjectChar">
    <w:name w:val="Comment Subject Char"/>
    <w:basedOn w:val="CommentTextChar"/>
    <w:link w:val="CommentSubject"/>
    <w:semiHidden/>
    <w:rsid w:val="00B71B3F"/>
    <w:rPr>
      <w:b/>
      <w:bCs/>
    </w:rPr>
  </w:style>
  <w:style w:type="paragraph" w:styleId="Revision">
    <w:name w:val="Revision"/>
    <w:hidden/>
    <w:uiPriority w:val="99"/>
    <w:semiHidden/>
    <w:rsid w:val="00513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596">
      <w:bodyDiv w:val="1"/>
      <w:marLeft w:val="0"/>
      <w:marRight w:val="0"/>
      <w:marTop w:val="0"/>
      <w:marBottom w:val="0"/>
      <w:divBdr>
        <w:top w:val="none" w:sz="0" w:space="0" w:color="auto"/>
        <w:left w:val="none" w:sz="0" w:space="0" w:color="auto"/>
        <w:bottom w:val="none" w:sz="0" w:space="0" w:color="auto"/>
        <w:right w:val="none" w:sz="0" w:space="0" w:color="auto"/>
      </w:divBdr>
    </w:div>
    <w:div w:id="194540398">
      <w:bodyDiv w:val="1"/>
      <w:marLeft w:val="0"/>
      <w:marRight w:val="0"/>
      <w:marTop w:val="0"/>
      <w:marBottom w:val="0"/>
      <w:divBdr>
        <w:top w:val="none" w:sz="0" w:space="0" w:color="auto"/>
        <w:left w:val="none" w:sz="0" w:space="0" w:color="auto"/>
        <w:bottom w:val="none" w:sz="0" w:space="0" w:color="auto"/>
        <w:right w:val="none" w:sz="0" w:space="0" w:color="auto"/>
      </w:divBdr>
    </w:div>
    <w:div w:id="205989180">
      <w:bodyDiv w:val="1"/>
      <w:marLeft w:val="0"/>
      <w:marRight w:val="0"/>
      <w:marTop w:val="0"/>
      <w:marBottom w:val="0"/>
      <w:divBdr>
        <w:top w:val="none" w:sz="0" w:space="0" w:color="auto"/>
        <w:left w:val="none" w:sz="0" w:space="0" w:color="auto"/>
        <w:bottom w:val="none" w:sz="0" w:space="0" w:color="auto"/>
        <w:right w:val="none" w:sz="0" w:space="0" w:color="auto"/>
      </w:divBdr>
    </w:div>
    <w:div w:id="524909171">
      <w:bodyDiv w:val="1"/>
      <w:marLeft w:val="0"/>
      <w:marRight w:val="0"/>
      <w:marTop w:val="0"/>
      <w:marBottom w:val="0"/>
      <w:divBdr>
        <w:top w:val="none" w:sz="0" w:space="0" w:color="auto"/>
        <w:left w:val="none" w:sz="0" w:space="0" w:color="auto"/>
        <w:bottom w:val="none" w:sz="0" w:space="0" w:color="auto"/>
        <w:right w:val="none" w:sz="0" w:space="0" w:color="auto"/>
      </w:divBdr>
    </w:div>
    <w:div w:id="569853058">
      <w:bodyDiv w:val="1"/>
      <w:marLeft w:val="0"/>
      <w:marRight w:val="0"/>
      <w:marTop w:val="0"/>
      <w:marBottom w:val="0"/>
      <w:divBdr>
        <w:top w:val="none" w:sz="0" w:space="0" w:color="auto"/>
        <w:left w:val="none" w:sz="0" w:space="0" w:color="auto"/>
        <w:bottom w:val="none" w:sz="0" w:space="0" w:color="auto"/>
        <w:right w:val="none" w:sz="0" w:space="0" w:color="auto"/>
      </w:divBdr>
      <w:divsChild>
        <w:div w:id="1762607042">
          <w:marLeft w:val="0"/>
          <w:marRight w:val="0"/>
          <w:marTop w:val="0"/>
          <w:marBottom w:val="0"/>
          <w:divBdr>
            <w:top w:val="none" w:sz="0" w:space="0" w:color="auto"/>
            <w:left w:val="none" w:sz="0" w:space="0" w:color="auto"/>
            <w:bottom w:val="none" w:sz="0" w:space="0" w:color="auto"/>
            <w:right w:val="none" w:sz="0" w:space="0" w:color="auto"/>
          </w:divBdr>
        </w:div>
        <w:div w:id="2115518349">
          <w:marLeft w:val="0"/>
          <w:marRight w:val="0"/>
          <w:marTop w:val="0"/>
          <w:marBottom w:val="0"/>
          <w:divBdr>
            <w:top w:val="none" w:sz="0" w:space="0" w:color="auto"/>
            <w:left w:val="none" w:sz="0" w:space="0" w:color="auto"/>
            <w:bottom w:val="none" w:sz="0" w:space="0" w:color="auto"/>
            <w:right w:val="none" w:sz="0" w:space="0" w:color="auto"/>
          </w:divBdr>
        </w:div>
      </w:divsChild>
    </w:div>
    <w:div w:id="606543641">
      <w:bodyDiv w:val="1"/>
      <w:marLeft w:val="0"/>
      <w:marRight w:val="0"/>
      <w:marTop w:val="0"/>
      <w:marBottom w:val="0"/>
      <w:divBdr>
        <w:top w:val="none" w:sz="0" w:space="0" w:color="auto"/>
        <w:left w:val="none" w:sz="0" w:space="0" w:color="auto"/>
        <w:bottom w:val="none" w:sz="0" w:space="0" w:color="auto"/>
        <w:right w:val="none" w:sz="0" w:space="0" w:color="auto"/>
      </w:divBdr>
    </w:div>
    <w:div w:id="653145809">
      <w:bodyDiv w:val="1"/>
      <w:marLeft w:val="0"/>
      <w:marRight w:val="0"/>
      <w:marTop w:val="0"/>
      <w:marBottom w:val="0"/>
      <w:divBdr>
        <w:top w:val="none" w:sz="0" w:space="0" w:color="auto"/>
        <w:left w:val="none" w:sz="0" w:space="0" w:color="auto"/>
        <w:bottom w:val="none" w:sz="0" w:space="0" w:color="auto"/>
        <w:right w:val="none" w:sz="0" w:space="0" w:color="auto"/>
      </w:divBdr>
    </w:div>
    <w:div w:id="746807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0767">
          <w:marLeft w:val="0"/>
          <w:marRight w:val="0"/>
          <w:marTop w:val="0"/>
          <w:marBottom w:val="0"/>
          <w:divBdr>
            <w:top w:val="none" w:sz="0" w:space="0" w:color="auto"/>
            <w:left w:val="none" w:sz="0" w:space="0" w:color="auto"/>
            <w:bottom w:val="none" w:sz="0" w:space="0" w:color="auto"/>
            <w:right w:val="none" w:sz="0" w:space="0" w:color="auto"/>
          </w:divBdr>
        </w:div>
        <w:div w:id="2146966628">
          <w:marLeft w:val="0"/>
          <w:marRight w:val="0"/>
          <w:marTop w:val="0"/>
          <w:marBottom w:val="0"/>
          <w:divBdr>
            <w:top w:val="none" w:sz="0" w:space="0" w:color="auto"/>
            <w:left w:val="none" w:sz="0" w:space="0" w:color="auto"/>
            <w:bottom w:val="none" w:sz="0" w:space="0" w:color="auto"/>
            <w:right w:val="none" w:sz="0" w:space="0" w:color="auto"/>
          </w:divBdr>
        </w:div>
        <w:div w:id="1124349480">
          <w:marLeft w:val="0"/>
          <w:marRight w:val="0"/>
          <w:marTop w:val="0"/>
          <w:marBottom w:val="0"/>
          <w:divBdr>
            <w:top w:val="none" w:sz="0" w:space="0" w:color="auto"/>
            <w:left w:val="none" w:sz="0" w:space="0" w:color="auto"/>
            <w:bottom w:val="none" w:sz="0" w:space="0" w:color="auto"/>
            <w:right w:val="none" w:sz="0" w:space="0" w:color="auto"/>
          </w:divBdr>
        </w:div>
      </w:divsChild>
    </w:div>
    <w:div w:id="765199925">
      <w:bodyDiv w:val="1"/>
      <w:marLeft w:val="0"/>
      <w:marRight w:val="0"/>
      <w:marTop w:val="0"/>
      <w:marBottom w:val="0"/>
      <w:divBdr>
        <w:top w:val="none" w:sz="0" w:space="0" w:color="auto"/>
        <w:left w:val="none" w:sz="0" w:space="0" w:color="auto"/>
        <w:bottom w:val="none" w:sz="0" w:space="0" w:color="auto"/>
        <w:right w:val="none" w:sz="0" w:space="0" w:color="auto"/>
      </w:divBdr>
    </w:div>
    <w:div w:id="806627937">
      <w:bodyDiv w:val="1"/>
      <w:marLeft w:val="0"/>
      <w:marRight w:val="0"/>
      <w:marTop w:val="0"/>
      <w:marBottom w:val="0"/>
      <w:divBdr>
        <w:top w:val="none" w:sz="0" w:space="0" w:color="auto"/>
        <w:left w:val="none" w:sz="0" w:space="0" w:color="auto"/>
        <w:bottom w:val="none" w:sz="0" w:space="0" w:color="auto"/>
        <w:right w:val="none" w:sz="0" w:space="0" w:color="auto"/>
      </w:divBdr>
      <w:divsChild>
        <w:div w:id="1733116515">
          <w:marLeft w:val="0"/>
          <w:marRight w:val="0"/>
          <w:marTop w:val="0"/>
          <w:marBottom w:val="0"/>
          <w:divBdr>
            <w:top w:val="none" w:sz="0" w:space="0" w:color="auto"/>
            <w:left w:val="none" w:sz="0" w:space="0" w:color="auto"/>
            <w:bottom w:val="none" w:sz="0" w:space="0" w:color="auto"/>
            <w:right w:val="none" w:sz="0" w:space="0" w:color="auto"/>
          </w:divBdr>
        </w:div>
        <w:div w:id="1816558772">
          <w:marLeft w:val="0"/>
          <w:marRight w:val="0"/>
          <w:marTop w:val="0"/>
          <w:marBottom w:val="0"/>
          <w:divBdr>
            <w:top w:val="none" w:sz="0" w:space="0" w:color="auto"/>
            <w:left w:val="none" w:sz="0" w:space="0" w:color="auto"/>
            <w:bottom w:val="none" w:sz="0" w:space="0" w:color="auto"/>
            <w:right w:val="none" w:sz="0" w:space="0" w:color="auto"/>
          </w:divBdr>
        </w:div>
      </w:divsChild>
    </w:div>
    <w:div w:id="901407775">
      <w:bodyDiv w:val="1"/>
      <w:marLeft w:val="0"/>
      <w:marRight w:val="0"/>
      <w:marTop w:val="0"/>
      <w:marBottom w:val="0"/>
      <w:divBdr>
        <w:top w:val="none" w:sz="0" w:space="0" w:color="auto"/>
        <w:left w:val="none" w:sz="0" w:space="0" w:color="auto"/>
        <w:bottom w:val="none" w:sz="0" w:space="0" w:color="auto"/>
        <w:right w:val="none" w:sz="0" w:space="0" w:color="auto"/>
      </w:divBdr>
    </w:div>
    <w:div w:id="992414842">
      <w:bodyDiv w:val="1"/>
      <w:marLeft w:val="0"/>
      <w:marRight w:val="0"/>
      <w:marTop w:val="0"/>
      <w:marBottom w:val="0"/>
      <w:divBdr>
        <w:top w:val="none" w:sz="0" w:space="0" w:color="auto"/>
        <w:left w:val="none" w:sz="0" w:space="0" w:color="auto"/>
        <w:bottom w:val="none" w:sz="0" w:space="0" w:color="auto"/>
        <w:right w:val="none" w:sz="0" w:space="0" w:color="auto"/>
      </w:divBdr>
      <w:divsChild>
        <w:div w:id="2100251422">
          <w:marLeft w:val="0"/>
          <w:marRight w:val="0"/>
          <w:marTop w:val="0"/>
          <w:marBottom w:val="0"/>
          <w:divBdr>
            <w:top w:val="none" w:sz="0" w:space="0" w:color="auto"/>
            <w:left w:val="none" w:sz="0" w:space="0" w:color="auto"/>
            <w:bottom w:val="none" w:sz="0" w:space="0" w:color="auto"/>
            <w:right w:val="none" w:sz="0" w:space="0" w:color="auto"/>
          </w:divBdr>
        </w:div>
        <w:div w:id="1571112672">
          <w:marLeft w:val="0"/>
          <w:marRight w:val="0"/>
          <w:marTop w:val="0"/>
          <w:marBottom w:val="0"/>
          <w:divBdr>
            <w:top w:val="none" w:sz="0" w:space="0" w:color="auto"/>
            <w:left w:val="none" w:sz="0" w:space="0" w:color="auto"/>
            <w:bottom w:val="none" w:sz="0" w:space="0" w:color="auto"/>
            <w:right w:val="none" w:sz="0" w:space="0" w:color="auto"/>
          </w:divBdr>
        </w:div>
        <w:div w:id="525141210">
          <w:marLeft w:val="0"/>
          <w:marRight w:val="0"/>
          <w:marTop w:val="0"/>
          <w:marBottom w:val="0"/>
          <w:divBdr>
            <w:top w:val="none" w:sz="0" w:space="0" w:color="auto"/>
            <w:left w:val="none" w:sz="0" w:space="0" w:color="auto"/>
            <w:bottom w:val="none" w:sz="0" w:space="0" w:color="auto"/>
            <w:right w:val="none" w:sz="0" w:space="0" w:color="auto"/>
          </w:divBdr>
        </w:div>
      </w:divsChild>
    </w:div>
    <w:div w:id="1105464013">
      <w:bodyDiv w:val="1"/>
      <w:marLeft w:val="0"/>
      <w:marRight w:val="0"/>
      <w:marTop w:val="0"/>
      <w:marBottom w:val="0"/>
      <w:divBdr>
        <w:top w:val="none" w:sz="0" w:space="0" w:color="auto"/>
        <w:left w:val="none" w:sz="0" w:space="0" w:color="auto"/>
        <w:bottom w:val="none" w:sz="0" w:space="0" w:color="auto"/>
        <w:right w:val="none" w:sz="0" w:space="0" w:color="auto"/>
      </w:divBdr>
    </w:div>
    <w:div w:id="1146043961">
      <w:bodyDiv w:val="1"/>
      <w:marLeft w:val="0"/>
      <w:marRight w:val="0"/>
      <w:marTop w:val="0"/>
      <w:marBottom w:val="0"/>
      <w:divBdr>
        <w:top w:val="none" w:sz="0" w:space="0" w:color="auto"/>
        <w:left w:val="none" w:sz="0" w:space="0" w:color="auto"/>
        <w:bottom w:val="none" w:sz="0" w:space="0" w:color="auto"/>
        <w:right w:val="none" w:sz="0" w:space="0" w:color="auto"/>
      </w:divBdr>
    </w:div>
    <w:div w:id="1196383472">
      <w:bodyDiv w:val="1"/>
      <w:marLeft w:val="0"/>
      <w:marRight w:val="0"/>
      <w:marTop w:val="0"/>
      <w:marBottom w:val="0"/>
      <w:divBdr>
        <w:top w:val="none" w:sz="0" w:space="0" w:color="auto"/>
        <w:left w:val="none" w:sz="0" w:space="0" w:color="auto"/>
        <w:bottom w:val="none" w:sz="0" w:space="0" w:color="auto"/>
        <w:right w:val="none" w:sz="0" w:space="0" w:color="auto"/>
      </w:divBdr>
    </w:div>
    <w:div w:id="1406225356">
      <w:bodyDiv w:val="1"/>
      <w:marLeft w:val="0"/>
      <w:marRight w:val="0"/>
      <w:marTop w:val="0"/>
      <w:marBottom w:val="0"/>
      <w:divBdr>
        <w:top w:val="none" w:sz="0" w:space="0" w:color="auto"/>
        <w:left w:val="none" w:sz="0" w:space="0" w:color="auto"/>
        <w:bottom w:val="none" w:sz="0" w:space="0" w:color="auto"/>
        <w:right w:val="none" w:sz="0" w:space="0" w:color="auto"/>
      </w:divBdr>
    </w:div>
    <w:div w:id="1544757419">
      <w:bodyDiv w:val="1"/>
      <w:marLeft w:val="0"/>
      <w:marRight w:val="0"/>
      <w:marTop w:val="0"/>
      <w:marBottom w:val="0"/>
      <w:divBdr>
        <w:top w:val="none" w:sz="0" w:space="0" w:color="auto"/>
        <w:left w:val="none" w:sz="0" w:space="0" w:color="auto"/>
        <w:bottom w:val="none" w:sz="0" w:space="0" w:color="auto"/>
        <w:right w:val="none" w:sz="0" w:space="0" w:color="auto"/>
      </w:divBdr>
    </w:div>
    <w:div w:id="1611401060">
      <w:bodyDiv w:val="1"/>
      <w:marLeft w:val="0"/>
      <w:marRight w:val="0"/>
      <w:marTop w:val="0"/>
      <w:marBottom w:val="0"/>
      <w:divBdr>
        <w:top w:val="none" w:sz="0" w:space="0" w:color="auto"/>
        <w:left w:val="none" w:sz="0" w:space="0" w:color="auto"/>
        <w:bottom w:val="none" w:sz="0" w:space="0" w:color="auto"/>
        <w:right w:val="none" w:sz="0" w:space="0" w:color="auto"/>
      </w:divBdr>
    </w:div>
    <w:div w:id="1653944111">
      <w:bodyDiv w:val="1"/>
      <w:marLeft w:val="0"/>
      <w:marRight w:val="0"/>
      <w:marTop w:val="0"/>
      <w:marBottom w:val="0"/>
      <w:divBdr>
        <w:top w:val="none" w:sz="0" w:space="0" w:color="auto"/>
        <w:left w:val="none" w:sz="0" w:space="0" w:color="auto"/>
        <w:bottom w:val="none" w:sz="0" w:space="0" w:color="auto"/>
        <w:right w:val="none" w:sz="0" w:space="0" w:color="auto"/>
      </w:divBdr>
    </w:div>
    <w:div w:id="1702393209">
      <w:bodyDiv w:val="1"/>
      <w:marLeft w:val="0"/>
      <w:marRight w:val="0"/>
      <w:marTop w:val="0"/>
      <w:marBottom w:val="0"/>
      <w:divBdr>
        <w:top w:val="none" w:sz="0" w:space="0" w:color="auto"/>
        <w:left w:val="none" w:sz="0" w:space="0" w:color="auto"/>
        <w:bottom w:val="none" w:sz="0" w:space="0" w:color="auto"/>
        <w:right w:val="none" w:sz="0" w:space="0" w:color="auto"/>
      </w:divBdr>
    </w:div>
    <w:div w:id="1848399375">
      <w:bodyDiv w:val="1"/>
      <w:marLeft w:val="0"/>
      <w:marRight w:val="0"/>
      <w:marTop w:val="0"/>
      <w:marBottom w:val="0"/>
      <w:divBdr>
        <w:top w:val="none" w:sz="0" w:space="0" w:color="auto"/>
        <w:left w:val="none" w:sz="0" w:space="0" w:color="auto"/>
        <w:bottom w:val="none" w:sz="0" w:space="0" w:color="auto"/>
        <w:right w:val="none" w:sz="0" w:space="0" w:color="auto"/>
      </w:divBdr>
    </w:div>
    <w:div w:id="1943537890">
      <w:bodyDiv w:val="1"/>
      <w:marLeft w:val="0"/>
      <w:marRight w:val="0"/>
      <w:marTop w:val="0"/>
      <w:marBottom w:val="0"/>
      <w:divBdr>
        <w:top w:val="none" w:sz="0" w:space="0" w:color="auto"/>
        <w:left w:val="none" w:sz="0" w:space="0" w:color="auto"/>
        <w:bottom w:val="none" w:sz="0" w:space="0" w:color="auto"/>
        <w:right w:val="none" w:sz="0" w:space="0" w:color="auto"/>
      </w:divBdr>
    </w:div>
    <w:div w:id="1998027512">
      <w:bodyDiv w:val="1"/>
      <w:marLeft w:val="0"/>
      <w:marRight w:val="0"/>
      <w:marTop w:val="0"/>
      <w:marBottom w:val="0"/>
      <w:divBdr>
        <w:top w:val="none" w:sz="0" w:space="0" w:color="auto"/>
        <w:left w:val="none" w:sz="0" w:space="0" w:color="auto"/>
        <w:bottom w:val="none" w:sz="0" w:space="0" w:color="auto"/>
        <w:right w:val="none" w:sz="0" w:space="0" w:color="auto"/>
      </w:divBdr>
    </w:div>
    <w:div w:id="2017075627">
      <w:bodyDiv w:val="1"/>
      <w:marLeft w:val="0"/>
      <w:marRight w:val="0"/>
      <w:marTop w:val="0"/>
      <w:marBottom w:val="0"/>
      <w:divBdr>
        <w:top w:val="none" w:sz="0" w:space="0" w:color="auto"/>
        <w:left w:val="none" w:sz="0" w:space="0" w:color="auto"/>
        <w:bottom w:val="none" w:sz="0" w:space="0" w:color="auto"/>
        <w:right w:val="none" w:sz="0" w:space="0" w:color="auto"/>
      </w:divBdr>
    </w:div>
    <w:div w:id="21094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di.Lawyer@vbpd.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NKAHMF2WWKTP-399312027-2138</_dlc_DocId>
    <_dlc_DocIdUrl xmlns="89461f00-0b74-46d7-ba90-7a84aa4e2ee4">
      <Url>https://sharepoint.wwrc.net/VBPDdocs/_layouts/15/DocIdRedir.aspx?ID=NKAHMF2WWKTP-399312027-2138</Url>
      <Description>NKAHMF2WWKTP-399312027-2138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A5A16-2294-4488-B56D-C78D38D104C7}"/>
</file>

<file path=customXml/itemProps2.xml><?xml version="1.0" encoding="utf-8"?>
<ds:datastoreItem xmlns:ds="http://schemas.openxmlformats.org/officeDocument/2006/customXml" ds:itemID="{3B50819A-3DAC-45CC-9F51-10C4A1B9D4ED}"/>
</file>

<file path=customXml/itemProps3.xml><?xml version="1.0" encoding="utf-8"?>
<ds:datastoreItem xmlns:ds="http://schemas.openxmlformats.org/officeDocument/2006/customXml" ds:itemID="{A0BE5373-FD34-40AD-AC30-C6144FAB8324}"/>
</file>

<file path=customXml/itemProps4.xml><?xml version="1.0" encoding="utf-8"?>
<ds:datastoreItem xmlns:ds="http://schemas.openxmlformats.org/officeDocument/2006/customXml" ds:itemID="{A0BE5373-FD34-40AD-AC30-C6144FAB8324}"/>
</file>

<file path=customXml/itemProps5.xml><?xml version="1.0" encoding="utf-8"?>
<ds:datastoreItem xmlns:ds="http://schemas.openxmlformats.org/officeDocument/2006/customXml" ds:itemID="{7103DE47-200B-4361-82CF-B0CD93293EE2}"/>
</file>

<file path=customXml/itemProps6.xml><?xml version="1.0" encoding="utf-8"?>
<ds:datastoreItem xmlns:ds="http://schemas.openxmlformats.org/officeDocument/2006/customXml" ds:itemID="{044BCCB5-4092-446C-B0C7-B9AA34705EE6}"/>
</file>

<file path=docProps/app.xml><?xml version="1.0" encoding="utf-8"?>
<Properties xmlns="http://schemas.openxmlformats.org/officeDocument/2006/extended-properties" xmlns:vt="http://schemas.openxmlformats.org/officeDocument/2006/docPropsVTypes">
  <Template>Normal</Template>
  <TotalTime>19</TotalTime>
  <Pages>29</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Medallion II Contract Questions</vt:lpstr>
    </vt:vector>
  </TitlesOfParts>
  <Company>dmas</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Medallion II Contract Questions</dc:title>
  <dc:creator>Anderson, Kayla (DMAS)</dc:creator>
  <cp:lastModifiedBy>Jarvela, Benjamin (VBPD)</cp:lastModifiedBy>
  <cp:revision>6</cp:revision>
  <cp:lastPrinted>2018-05-29T19:19:00Z</cp:lastPrinted>
  <dcterms:created xsi:type="dcterms:W3CDTF">2018-09-19T11:30:00Z</dcterms:created>
  <dcterms:modified xsi:type="dcterms:W3CDTF">2018-09-25T14:58:00Z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0x0101009A83348A73B2104AA43CA6202EED0D55</vt:lpwstr>
  </property>
  <property fmtid="{D5CDD505-2E9C-101B-9397-08002B2CF9AE}" pid="4" name="_dlc_DocIdItemGuid">
    <vt:lpwstr>6182210c-88b8-47b8-b2b1-d81cd2529e84</vt:lpwstr>
  </property>
</Properties>
</file>