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EB" w:rsidRPr="004F17EB" w:rsidRDefault="004F17EB" w:rsidP="004F17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BACKGROUND</w:t>
      </w:r>
    </w:p>
    <w:p w:rsidR="00896F2D" w:rsidRDefault="00896F2D" w:rsidP="00896F2D">
      <w:pPr>
        <w:rPr>
          <w:rFonts w:ascii="Arial" w:hAnsi="Arial" w:cs="Arial"/>
          <w:sz w:val="24"/>
          <w:szCs w:val="24"/>
        </w:rPr>
      </w:pPr>
      <w:r w:rsidRPr="00CC2438">
        <w:rPr>
          <w:rFonts w:ascii="Arial" w:hAnsi="Arial" w:cs="Arial"/>
          <w:sz w:val="24"/>
          <w:szCs w:val="24"/>
        </w:rPr>
        <w:t xml:space="preserve">Funding for Virginia’s </w:t>
      </w:r>
      <w:r>
        <w:rPr>
          <w:rFonts w:ascii="Arial" w:hAnsi="Arial" w:cs="Arial"/>
          <w:sz w:val="24"/>
          <w:szCs w:val="24"/>
        </w:rPr>
        <w:t>area agencies on aging (AAAs)</w:t>
      </w:r>
      <w:r w:rsidRPr="00CC2438">
        <w:rPr>
          <w:rFonts w:ascii="Arial" w:hAnsi="Arial" w:cs="Arial"/>
          <w:sz w:val="24"/>
          <w:szCs w:val="24"/>
        </w:rPr>
        <w:t xml:space="preserve"> is allocated </w:t>
      </w:r>
      <w:r w:rsidRPr="00086E63">
        <w:rPr>
          <w:rFonts w:ascii="Arial" w:hAnsi="Arial" w:cs="Arial"/>
          <w:sz w:val="24"/>
          <w:szCs w:val="24"/>
        </w:rPr>
        <w:t>via an advanced payment method.</w:t>
      </w:r>
      <w:r>
        <w:rPr>
          <w:rFonts w:ascii="Arial" w:hAnsi="Arial" w:cs="Arial"/>
          <w:sz w:val="24"/>
          <w:szCs w:val="24"/>
        </w:rPr>
        <w:t xml:space="preserve"> AAA funding</w:t>
      </w:r>
      <w:r w:rsidRPr="00CC2438">
        <w:rPr>
          <w:rFonts w:ascii="Arial" w:hAnsi="Arial" w:cs="Arial"/>
          <w:sz w:val="24"/>
          <w:szCs w:val="24"/>
        </w:rPr>
        <w:t xml:space="preserve"> is estimated based on the previous year’s funding, with adjustments made as the year progresses based on the final federal allocation Virginia receives. </w:t>
      </w:r>
    </w:p>
    <w:p w:rsidR="00896F2D" w:rsidRPr="0015363B" w:rsidRDefault="00896F2D" w:rsidP="00896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DARS receives federal funding allocations broken down by: </w:t>
      </w:r>
      <w:r w:rsidRPr="00F02AED">
        <w:rPr>
          <w:rFonts w:ascii="Arial" w:hAnsi="Arial" w:cs="Arial"/>
          <w:sz w:val="24"/>
          <w:szCs w:val="24"/>
        </w:rPr>
        <w:t xml:space="preserve">VII – Chapter 3 (Elder Rights) or VII – Chapter 2 (Ombudsman). </w:t>
      </w:r>
    </w:p>
    <w:p w:rsidR="00896F2D" w:rsidRPr="00CC2438" w:rsidRDefault="00896F2D" w:rsidP="00896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funding factors used in the IFF</w:t>
      </w:r>
      <w:r w:rsidR="004F17EB">
        <w:rPr>
          <w:rFonts w:ascii="Arial" w:hAnsi="Arial" w:cs="Arial"/>
          <w:sz w:val="24"/>
          <w:szCs w:val="24"/>
        </w:rPr>
        <w:t xml:space="preserve"> are applied to the Title VII – Chapter 3 (Elder Rights) allocations.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6F2D" w:rsidRDefault="00896F2D" w:rsidP="00896F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APPLYING THE IFF</w:t>
      </w:r>
    </w:p>
    <w:p w:rsidR="00582BDF" w:rsidRDefault="00582BDF" w:rsidP="00582BDF">
      <w:pPr>
        <w:pStyle w:val="NoSpacing"/>
      </w:pPr>
    </w:p>
    <w:p w:rsidR="00C8409F" w:rsidRPr="00F02AED" w:rsidRDefault="00C8409F" w:rsidP="00C8409F">
      <w:pPr>
        <w:rPr>
          <w:rFonts w:ascii="Arial" w:hAnsi="Arial" w:cs="Arial"/>
          <w:b/>
          <w:sz w:val="24"/>
          <w:szCs w:val="24"/>
        </w:rPr>
      </w:pPr>
      <w:r w:rsidRPr="00CC2438">
        <w:rPr>
          <w:rFonts w:ascii="Arial" w:hAnsi="Arial" w:cs="Arial"/>
          <w:b/>
          <w:sz w:val="24"/>
          <w:szCs w:val="24"/>
        </w:rPr>
        <w:t>1. STATE PLAN ADMIN</w:t>
      </w:r>
      <w:r w:rsidRPr="00F02AED">
        <w:rPr>
          <w:rFonts w:ascii="Arial" w:hAnsi="Arial" w:cs="Arial"/>
          <w:b/>
          <w:sz w:val="24"/>
          <w:szCs w:val="24"/>
        </w:rPr>
        <w:t>ISTRATION</w:t>
      </w:r>
    </w:p>
    <w:p w:rsidR="00C8409F" w:rsidRPr="00F02AED" w:rsidRDefault="00C8409F" w:rsidP="00C8409F">
      <w:pPr>
        <w:rPr>
          <w:rFonts w:ascii="Arial" w:hAnsi="Arial" w:cs="Arial"/>
          <w:sz w:val="24"/>
          <w:szCs w:val="24"/>
        </w:rPr>
      </w:pPr>
      <w:r w:rsidRPr="00F02AED">
        <w:rPr>
          <w:rFonts w:ascii="Arial" w:hAnsi="Arial" w:cs="Arial"/>
          <w:sz w:val="24"/>
          <w:szCs w:val="24"/>
        </w:rPr>
        <w:t xml:space="preserve">No administrative expenses are removed from VII – Chapter 3 (Elder Rights) or VII – Chapter 2 (Ombudsman). </w:t>
      </w:r>
    </w:p>
    <w:p w:rsidR="00C8409F" w:rsidRPr="00F02AED" w:rsidRDefault="00C8409F" w:rsidP="00C8409F">
      <w:pPr>
        <w:rPr>
          <w:rFonts w:ascii="Arial" w:hAnsi="Arial" w:cs="Arial"/>
          <w:b/>
          <w:sz w:val="24"/>
          <w:szCs w:val="24"/>
        </w:rPr>
      </w:pPr>
      <w:r w:rsidRPr="00F02AED">
        <w:rPr>
          <w:rFonts w:ascii="Arial" w:hAnsi="Arial" w:cs="Arial"/>
          <w:b/>
          <w:sz w:val="24"/>
          <w:szCs w:val="24"/>
        </w:rPr>
        <w:t xml:space="preserve">2. INITIAL RESERVES 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 w:rsidRPr="00F02AED">
        <w:rPr>
          <w:rFonts w:ascii="Arial" w:hAnsi="Arial" w:cs="Arial"/>
          <w:sz w:val="24"/>
          <w:szCs w:val="24"/>
        </w:rPr>
        <w:t>After accounting for state plan administrative expenses but before apply the funding formula, DARS sets aside approximately 5% of the funds within VII – Chapter 3 (Elder Rights) and VII – Chapter 2 (Ombudsman) as a reserve. This is later allocated as indic</w:t>
      </w:r>
      <w:r w:rsidR="00F02AED">
        <w:rPr>
          <w:rFonts w:ascii="Arial" w:hAnsi="Arial" w:cs="Arial"/>
          <w:sz w:val="24"/>
          <w:szCs w:val="24"/>
        </w:rPr>
        <w:t>ated in Item 5</w:t>
      </w:r>
      <w:r w:rsidRPr="00F02AED">
        <w:rPr>
          <w:rFonts w:ascii="Arial" w:hAnsi="Arial" w:cs="Arial"/>
          <w:sz w:val="24"/>
          <w:szCs w:val="24"/>
        </w:rPr>
        <w:t>.</w:t>
      </w:r>
    </w:p>
    <w:p w:rsidR="00C8409F" w:rsidRPr="00CC2438" w:rsidRDefault="00C8409F" w:rsidP="00C84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CC24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FUNDING FORMULA PART 1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 w:rsidRPr="000121A1">
        <w:rPr>
          <w:rFonts w:ascii="Arial" w:hAnsi="Arial" w:cs="Arial"/>
          <w:sz w:val="24"/>
          <w:szCs w:val="24"/>
          <w:u w:val="single"/>
        </w:rPr>
        <w:t>For federal allocations within Title</w:t>
      </w:r>
      <w:r>
        <w:rPr>
          <w:rFonts w:ascii="Arial" w:hAnsi="Arial" w:cs="Arial"/>
          <w:sz w:val="24"/>
          <w:szCs w:val="24"/>
          <w:u w:val="single"/>
        </w:rPr>
        <w:t xml:space="preserve"> VII – Chapter 3</w:t>
      </w:r>
      <w:r w:rsidR="00F02AED">
        <w:rPr>
          <w:rFonts w:ascii="Arial" w:hAnsi="Arial" w:cs="Arial"/>
          <w:sz w:val="24"/>
          <w:szCs w:val="24"/>
          <w:u w:val="single"/>
        </w:rPr>
        <w:t xml:space="preserve"> (Elder Rights)</w:t>
      </w:r>
      <w:r w:rsidRPr="004B10A6">
        <w:rPr>
          <w:rFonts w:ascii="Arial" w:hAnsi="Arial" w:cs="Arial"/>
          <w:sz w:val="24"/>
          <w:szCs w:val="24"/>
        </w:rPr>
        <w:t>: DARS allocates 50% of the 2012 federal allocation for each category to each AAA. The allocation for each category for each AAA is a fixed amount calculated based on the 2012 I</w:t>
      </w:r>
      <w:r>
        <w:rPr>
          <w:rFonts w:ascii="Arial" w:hAnsi="Arial" w:cs="Arial"/>
          <w:sz w:val="24"/>
          <w:szCs w:val="24"/>
        </w:rPr>
        <w:t>FF.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 w:rsidRPr="000121A1">
        <w:rPr>
          <w:rFonts w:ascii="Arial" w:hAnsi="Arial" w:cs="Arial"/>
          <w:sz w:val="24"/>
          <w:szCs w:val="24"/>
          <w:u w:val="single"/>
        </w:rPr>
        <w:t>For federal allocations for Title VII – Chapter 2 (Ombudsman)</w:t>
      </w:r>
      <w:r>
        <w:rPr>
          <w:rFonts w:ascii="Arial" w:hAnsi="Arial" w:cs="Arial"/>
          <w:sz w:val="24"/>
          <w:szCs w:val="24"/>
        </w:rPr>
        <w:t>: DARS allocates a base comprised of federal and state funds of $15,000 for a single ombudsman program and a base of $25,000 for a joint program.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In FFY 2021, PSAs received the following: </w:t>
      </w:r>
    </w:p>
    <w:p w:rsidR="00C8409F" w:rsidRPr="00CC2438" w:rsidRDefault="00F02AED" w:rsidP="00C84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8409F" w:rsidRPr="00CC2438">
        <w:rPr>
          <w:rFonts w:ascii="Arial" w:hAnsi="Arial" w:cs="Arial"/>
          <w:b/>
          <w:sz w:val="24"/>
          <w:szCs w:val="24"/>
        </w:rPr>
        <w:t>. FUNDING FORMULA PART 2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For federal allocations within Title VII – Chapter 3 (Elder Rights)</w:t>
      </w:r>
      <w:r>
        <w:rPr>
          <w:rFonts w:ascii="Arial" w:hAnsi="Arial" w:cs="Arial"/>
          <w:sz w:val="24"/>
          <w:szCs w:val="24"/>
        </w:rPr>
        <w:t xml:space="preserve">: </w:t>
      </w:r>
      <w:r w:rsidRPr="00A335C9">
        <w:rPr>
          <w:rFonts w:ascii="Arial" w:hAnsi="Arial" w:cs="Arial"/>
          <w:sz w:val="24"/>
          <w:szCs w:val="24"/>
        </w:rPr>
        <w:t xml:space="preserve">The remaining current </w:t>
      </w:r>
      <w:r>
        <w:rPr>
          <w:rFonts w:ascii="Arial" w:hAnsi="Arial" w:cs="Arial"/>
          <w:sz w:val="24"/>
          <w:szCs w:val="24"/>
        </w:rPr>
        <w:t xml:space="preserve">fiscal </w:t>
      </w:r>
      <w:r w:rsidRPr="00A335C9">
        <w:rPr>
          <w:rFonts w:ascii="Arial" w:hAnsi="Arial" w:cs="Arial"/>
          <w:sz w:val="24"/>
          <w:szCs w:val="24"/>
        </w:rPr>
        <w:t>year's allocation for each category is allocated to the AAAs as directed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jurisdiction, DARS obtains the population figures from the </w:t>
      </w:r>
      <w:r w:rsidRPr="001C6983">
        <w:rPr>
          <w:rFonts w:ascii="Arial" w:hAnsi="Arial" w:cs="Arial"/>
          <w:sz w:val="24"/>
          <w:szCs w:val="24"/>
        </w:rPr>
        <w:t>most recent 5-year American Community Survey (ACS) special compilation produced by the U.S. Census Bureau for the Administrat</w:t>
      </w:r>
      <w:r>
        <w:rPr>
          <w:rFonts w:ascii="Arial" w:hAnsi="Arial" w:cs="Arial"/>
          <w:sz w:val="24"/>
          <w:szCs w:val="24"/>
        </w:rPr>
        <w:t xml:space="preserve">ion on Community Living (ACL). Each jurisdiction’s population </w:t>
      </w:r>
      <w:r>
        <w:rPr>
          <w:rFonts w:ascii="Arial" w:hAnsi="Arial" w:cs="Arial"/>
          <w:sz w:val="24"/>
          <w:szCs w:val="24"/>
        </w:rPr>
        <w:lastRenderedPageBreak/>
        <w:t>figures are collected for: 1) Population 60+, 2) Population 60+ in Rural Jurisdictions, 3) Population 60+ in Poverty, and 4) Population 60+ Minority in Poverty.</w:t>
      </w:r>
    </w:p>
    <w:p w:rsidR="00C8409F" w:rsidRPr="001C6983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DARS obtains the jurisdiction figures, </w:t>
      </w:r>
      <w:r w:rsidRPr="001C6983">
        <w:rPr>
          <w:rFonts w:ascii="Arial" w:hAnsi="Arial" w:cs="Arial"/>
          <w:sz w:val="24"/>
          <w:szCs w:val="24"/>
        </w:rPr>
        <w:t xml:space="preserve">DARS allocates </w:t>
      </w:r>
      <w:r>
        <w:rPr>
          <w:rFonts w:ascii="Arial" w:hAnsi="Arial" w:cs="Arial"/>
          <w:sz w:val="24"/>
          <w:szCs w:val="24"/>
        </w:rPr>
        <w:t>federal funding within each funding category using the weighted factors a</w:t>
      </w:r>
      <w:r w:rsidRPr="001C6983">
        <w:rPr>
          <w:rFonts w:ascii="Arial" w:hAnsi="Arial" w:cs="Arial"/>
          <w:sz w:val="24"/>
          <w:szCs w:val="24"/>
        </w:rPr>
        <w:t>s follows: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220"/>
        <w:gridCol w:w="2520"/>
      </w:tblGrid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3"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3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</w:tr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Population 60+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Population 60+ in Rural Jurisdictions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Population 60+ in Poverty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Population 60+ Minority in Poverty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983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C8409F" w:rsidRPr="001C6983" w:rsidTr="004E5E10">
        <w:tc>
          <w:tcPr>
            <w:tcW w:w="52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C8409F" w:rsidRPr="001C6983" w:rsidRDefault="00C8409F" w:rsidP="004E5E10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3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C8409F" w:rsidRDefault="00C8409F" w:rsidP="00C8409F">
      <w:pPr>
        <w:pStyle w:val="NoSpacing"/>
      </w:pP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other words, within each funding category, for each </w:t>
      </w:r>
      <w:r w:rsidRPr="001C6983">
        <w:rPr>
          <w:rFonts w:ascii="Arial" w:hAnsi="Arial" w:cs="Arial"/>
          <w:sz w:val="24"/>
          <w:szCs w:val="24"/>
        </w:rPr>
        <w:t>jurisdiction</w:t>
      </w:r>
      <w:r>
        <w:rPr>
          <w:rFonts w:ascii="Arial" w:hAnsi="Arial" w:cs="Arial"/>
          <w:sz w:val="24"/>
          <w:szCs w:val="24"/>
        </w:rPr>
        <w:t>, each</w:t>
      </w:r>
      <w:r w:rsidRPr="001C6983">
        <w:rPr>
          <w:rFonts w:ascii="Arial" w:hAnsi="Arial" w:cs="Arial"/>
          <w:sz w:val="24"/>
          <w:szCs w:val="24"/>
        </w:rPr>
        <w:t xml:space="preserve"> fact</w:t>
      </w:r>
      <w:r>
        <w:rPr>
          <w:rFonts w:ascii="Arial" w:hAnsi="Arial" w:cs="Arial"/>
          <w:sz w:val="24"/>
          <w:szCs w:val="24"/>
        </w:rPr>
        <w:t xml:space="preserve">or is weighted and compiled for a PSA’s total weight. This determines each PSA’s </w:t>
      </w:r>
      <w:r w:rsidRPr="001C6983">
        <w:rPr>
          <w:rFonts w:ascii="Arial" w:hAnsi="Arial" w:cs="Arial"/>
          <w:sz w:val="24"/>
          <w:szCs w:val="24"/>
        </w:rPr>
        <w:t>proportion of the overall funding allo</w:t>
      </w:r>
      <w:r>
        <w:rPr>
          <w:rFonts w:ascii="Arial" w:hAnsi="Arial" w:cs="Arial"/>
          <w:sz w:val="24"/>
          <w:szCs w:val="24"/>
        </w:rPr>
        <w:t xml:space="preserve">cation for each funding category. 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 w:rsidRPr="00B806BB">
        <w:rPr>
          <w:rFonts w:ascii="Arial" w:hAnsi="Arial" w:cs="Arial"/>
          <w:sz w:val="24"/>
          <w:szCs w:val="24"/>
          <w:u w:val="single"/>
        </w:rPr>
        <w:t>For federal alloc</w:t>
      </w:r>
      <w:r>
        <w:rPr>
          <w:rFonts w:ascii="Arial" w:hAnsi="Arial" w:cs="Arial"/>
          <w:sz w:val="24"/>
          <w:szCs w:val="24"/>
          <w:u w:val="single"/>
        </w:rPr>
        <w:t>ations for Title VII – Chapter 2</w:t>
      </w:r>
      <w:r w:rsidRPr="00B806BB">
        <w:rPr>
          <w:rFonts w:ascii="Arial" w:hAnsi="Arial" w:cs="Arial"/>
          <w:sz w:val="24"/>
          <w:szCs w:val="24"/>
          <w:u w:val="single"/>
        </w:rPr>
        <w:t xml:space="preserve"> (Ombudsman)</w:t>
      </w:r>
      <w:r>
        <w:rPr>
          <w:rFonts w:ascii="Arial" w:hAnsi="Arial" w:cs="Arial"/>
          <w:sz w:val="24"/>
          <w:szCs w:val="24"/>
        </w:rPr>
        <w:t>: The remaining</w:t>
      </w:r>
      <w:r w:rsidRPr="00A335C9">
        <w:rPr>
          <w:rFonts w:ascii="Arial" w:hAnsi="Arial" w:cs="Arial"/>
          <w:sz w:val="24"/>
          <w:szCs w:val="24"/>
        </w:rPr>
        <w:t xml:space="preserve"> current </w:t>
      </w:r>
      <w:r>
        <w:rPr>
          <w:rFonts w:ascii="Arial" w:hAnsi="Arial" w:cs="Arial"/>
          <w:sz w:val="24"/>
          <w:szCs w:val="24"/>
        </w:rPr>
        <w:t xml:space="preserve">fiscal </w:t>
      </w:r>
      <w:r w:rsidRPr="00A335C9">
        <w:rPr>
          <w:rFonts w:ascii="Arial" w:hAnsi="Arial" w:cs="Arial"/>
          <w:sz w:val="24"/>
          <w:szCs w:val="24"/>
        </w:rPr>
        <w:t>year's</w:t>
      </w:r>
      <w:r>
        <w:rPr>
          <w:rFonts w:ascii="Arial" w:hAnsi="Arial" w:cs="Arial"/>
          <w:sz w:val="24"/>
          <w:szCs w:val="24"/>
        </w:rPr>
        <w:t xml:space="preserve"> federal</w:t>
      </w:r>
      <w:r w:rsidRPr="00A335C9">
        <w:rPr>
          <w:rFonts w:ascii="Arial" w:hAnsi="Arial" w:cs="Arial"/>
          <w:sz w:val="24"/>
          <w:szCs w:val="24"/>
        </w:rPr>
        <w:t xml:space="preserve"> allocation fo</w:t>
      </w:r>
      <w:r>
        <w:rPr>
          <w:rFonts w:ascii="Arial" w:hAnsi="Arial" w:cs="Arial"/>
          <w:sz w:val="24"/>
          <w:szCs w:val="24"/>
        </w:rPr>
        <w:t xml:space="preserve">r Title VII – Chapter 2 </w:t>
      </w:r>
      <w:r w:rsidRPr="00B806BB">
        <w:rPr>
          <w:rFonts w:ascii="Arial" w:hAnsi="Arial" w:cs="Arial"/>
          <w:sz w:val="24"/>
          <w:szCs w:val="24"/>
        </w:rPr>
        <w:t>(Ombudsman) is a</w:t>
      </w:r>
      <w:r w:rsidRPr="00A335C9">
        <w:rPr>
          <w:rFonts w:ascii="Arial" w:hAnsi="Arial" w:cs="Arial"/>
          <w:sz w:val="24"/>
          <w:szCs w:val="24"/>
        </w:rPr>
        <w:t>llocated to the AAAs as directed</w:t>
      </w:r>
      <w:r>
        <w:rPr>
          <w:rFonts w:ascii="Arial" w:hAnsi="Arial" w:cs="Arial"/>
          <w:sz w:val="24"/>
          <w:szCs w:val="24"/>
        </w:rPr>
        <w:t>: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jurisdiction, DARS obtains updated figures of long-term care beds from: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C8409F" w:rsidTr="004E5E10">
        <w:tc>
          <w:tcPr>
            <w:tcW w:w="5215" w:type="dxa"/>
          </w:tcPr>
          <w:p w:rsidR="00C8409F" w:rsidRPr="0006359A" w:rsidRDefault="00C8409F" w:rsidP="004E5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59A">
              <w:rPr>
                <w:rFonts w:ascii="Arial" w:hAnsi="Arial" w:cs="Arial"/>
                <w:b/>
                <w:sz w:val="24"/>
                <w:szCs w:val="24"/>
              </w:rPr>
              <w:t>State Agency</w:t>
            </w:r>
          </w:p>
        </w:tc>
        <w:tc>
          <w:tcPr>
            <w:tcW w:w="4135" w:type="dxa"/>
          </w:tcPr>
          <w:p w:rsidR="00C8409F" w:rsidRPr="0006359A" w:rsidRDefault="00C8409F" w:rsidP="004E5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59A">
              <w:rPr>
                <w:rFonts w:ascii="Arial" w:hAnsi="Arial" w:cs="Arial"/>
                <w:b/>
                <w:sz w:val="24"/>
                <w:szCs w:val="24"/>
              </w:rPr>
              <w:t xml:space="preserve">Bed </w:t>
            </w:r>
            <w:r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</w:tr>
      <w:tr w:rsidR="00C8409F" w:rsidTr="004E5E10">
        <w:tc>
          <w:tcPr>
            <w:tcW w:w="521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 w:rsidRPr="00B806BB">
              <w:rPr>
                <w:rFonts w:ascii="Arial" w:hAnsi="Arial" w:cs="Arial"/>
                <w:sz w:val="24"/>
                <w:szCs w:val="24"/>
              </w:rPr>
              <w:t>Virginia Department of Health (VDH)</w:t>
            </w:r>
          </w:p>
        </w:tc>
        <w:tc>
          <w:tcPr>
            <w:tcW w:w="413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Nursing Facility Beds </w:t>
            </w:r>
          </w:p>
        </w:tc>
      </w:tr>
      <w:tr w:rsidR="00C8409F" w:rsidTr="004E5E10">
        <w:tc>
          <w:tcPr>
            <w:tcW w:w="521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 w:rsidRPr="00B806BB">
              <w:rPr>
                <w:rFonts w:ascii="Arial" w:hAnsi="Arial" w:cs="Arial"/>
                <w:sz w:val="24"/>
                <w:szCs w:val="24"/>
              </w:rPr>
              <w:t>Virginia Department of Social Services (VDSS)</w:t>
            </w:r>
          </w:p>
        </w:tc>
        <w:tc>
          <w:tcPr>
            <w:tcW w:w="413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 Living Facility Beds</w:t>
            </w:r>
          </w:p>
        </w:tc>
      </w:tr>
      <w:tr w:rsidR="00C8409F" w:rsidTr="004E5E10">
        <w:tc>
          <w:tcPr>
            <w:tcW w:w="521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 w:rsidRPr="00B806BB">
              <w:rPr>
                <w:rFonts w:ascii="Arial" w:hAnsi="Arial" w:cs="Arial"/>
                <w:sz w:val="24"/>
                <w:szCs w:val="24"/>
              </w:rPr>
              <w:t>Virginia Department of Behavioral Health and Developmental Services (DBHDS)</w:t>
            </w:r>
          </w:p>
        </w:tc>
        <w:tc>
          <w:tcPr>
            <w:tcW w:w="4135" w:type="dxa"/>
          </w:tcPr>
          <w:p w:rsidR="00C8409F" w:rsidRDefault="00C8409F" w:rsidP="004E5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Geriatric Mental Health Beds </w:t>
            </w:r>
          </w:p>
        </w:tc>
      </w:tr>
    </w:tbl>
    <w:p w:rsidR="00C8409F" w:rsidRDefault="00C8409F" w:rsidP="00C8409F">
      <w:pPr>
        <w:pStyle w:val="NoSpacing"/>
      </w:pP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each funding category, for each </w:t>
      </w:r>
      <w:r w:rsidRPr="001C6983">
        <w:rPr>
          <w:rFonts w:ascii="Arial" w:hAnsi="Arial" w:cs="Arial"/>
          <w:sz w:val="24"/>
          <w:szCs w:val="24"/>
        </w:rPr>
        <w:t>jurisdiction</w:t>
      </w:r>
      <w:r>
        <w:rPr>
          <w:rFonts w:ascii="Arial" w:hAnsi="Arial" w:cs="Arial"/>
          <w:sz w:val="24"/>
          <w:szCs w:val="24"/>
        </w:rPr>
        <w:t xml:space="preserve">, the total number of beds is calculated for each PSA. This determines each PSA’s </w:t>
      </w:r>
      <w:r w:rsidRPr="001C6983">
        <w:rPr>
          <w:rFonts w:ascii="Arial" w:hAnsi="Arial" w:cs="Arial"/>
          <w:sz w:val="24"/>
          <w:szCs w:val="24"/>
        </w:rPr>
        <w:t>proportion of the overall</w:t>
      </w:r>
      <w:r>
        <w:rPr>
          <w:rFonts w:ascii="Arial" w:hAnsi="Arial" w:cs="Arial"/>
          <w:sz w:val="24"/>
          <w:szCs w:val="24"/>
        </w:rPr>
        <w:t xml:space="preserve"> federal</w:t>
      </w:r>
      <w:r w:rsidRPr="001C6983">
        <w:rPr>
          <w:rFonts w:ascii="Arial" w:hAnsi="Arial" w:cs="Arial"/>
          <w:sz w:val="24"/>
          <w:szCs w:val="24"/>
        </w:rPr>
        <w:t xml:space="preserve"> funding allo</w:t>
      </w:r>
      <w:r>
        <w:rPr>
          <w:rFonts w:ascii="Arial" w:hAnsi="Arial" w:cs="Arial"/>
          <w:sz w:val="24"/>
          <w:szCs w:val="24"/>
        </w:rPr>
        <w:t xml:space="preserve">cation for this category. </w:t>
      </w:r>
    </w:p>
    <w:p w:rsidR="00C8409F" w:rsidRPr="00CC2438" w:rsidRDefault="00F02AED" w:rsidP="00C84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8409F" w:rsidRPr="00CC2438">
        <w:rPr>
          <w:rFonts w:ascii="Arial" w:hAnsi="Arial" w:cs="Arial"/>
          <w:b/>
          <w:sz w:val="24"/>
          <w:szCs w:val="24"/>
        </w:rPr>
        <w:t>. RESERVE ALLOCATION</w:t>
      </w:r>
    </w:p>
    <w:p w:rsidR="00C8409F" w:rsidRDefault="00C8409F" w:rsidP="00C8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A335C9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 – Chapter 3</w:t>
      </w:r>
      <w:r w:rsidRPr="00A335C9">
        <w:rPr>
          <w:rFonts w:ascii="Arial" w:hAnsi="Arial" w:cs="Arial"/>
          <w:sz w:val="24"/>
          <w:szCs w:val="24"/>
        </w:rPr>
        <w:t xml:space="preserve"> (Elder Rights)</w:t>
      </w:r>
      <w:r>
        <w:rPr>
          <w:rFonts w:ascii="Arial" w:hAnsi="Arial" w:cs="Arial"/>
          <w:sz w:val="24"/>
          <w:szCs w:val="24"/>
        </w:rPr>
        <w:t xml:space="preserve"> and</w:t>
      </w:r>
      <w:r w:rsidRPr="00A335C9">
        <w:rPr>
          <w:rFonts w:ascii="Arial" w:hAnsi="Arial" w:cs="Arial"/>
          <w:sz w:val="24"/>
          <w:szCs w:val="24"/>
        </w:rPr>
        <w:t xml:space="preserve"> VII </w:t>
      </w:r>
      <w:r>
        <w:rPr>
          <w:rFonts w:ascii="Arial" w:hAnsi="Arial" w:cs="Arial"/>
          <w:sz w:val="24"/>
          <w:szCs w:val="24"/>
        </w:rPr>
        <w:t xml:space="preserve">– Chapter 2 </w:t>
      </w:r>
      <w:r w:rsidRPr="00A335C9">
        <w:rPr>
          <w:rFonts w:ascii="Arial" w:hAnsi="Arial" w:cs="Arial"/>
          <w:sz w:val="24"/>
          <w:szCs w:val="24"/>
        </w:rPr>
        <w:t>(Ombudsman)</w:t>
      </w:r>
      <w:r>
        <w:rPr>
          <w:rFonts w:ascii="Arial" w:hAnsi="Arial" w:cs="Arial"/>
          <w:sz w:val="24"/>
          <w:szCs w:val="24"/>
        </w:rPr>
        <w:t xml:space="preserve"> toward the end of the FFY, the funds held in reserves are calculated and allocated using th</w:t>
      </w:r>
      <w:r w:rsidR="00F02AED">
        <w:rPr>
          <w:rFonts w:ascii="Arial" w:hAnsi="Arial" w:cs="Arial"/>
          <w:sz w:val="24"/>
          <w:szCs w:val="24"/>
        </w:rPr>
        <w:t xml:space="preserve">e same process identified in </w:t>
      </w:r>
      <w:r w:rsidR="00F02AED" w:rsidRPr="0041140B">
        <w:rPr>
          <w:rFonts w:ascii="Arial" w:hAnsi="Arial" w:cs="Arial"/>
          <w:sz w:val="24"/>
          <w:szCs w:val="24"/>
        </w:rPr>
        <w:t>Item 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409F" w:rsidRPr="00CC2438" w:rsidRDefault="00F02AED" w:rsidP="00C84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8409F" w:rsidRPr="00CC2438">
        <w:rPr>
          <w:rFonts w:ascii="Arial" w:hAnsi="Arial" w:cs="Arial"/>
          <w:b/>
          <w:sz w:val="24"/>
          <w:szCs w:val="24"/>
        </w:rPr>
        <w:t>. REALLOTTED FUNDS</w:t>
      </w:r>
    </w:p>
    <w:p w:rsidR="00C8409F" w:rsidRDefault="00C8409F" w:rsidP="004F17EB">
      <w:r>
        <w:rPr>
          <w:rFonts w:ascii="Arial" w:hAnsi="Arial" w:cs="Arial"/>
          <w:sz w:val="24"/>
          <w:szCs w:val="24"/>
        </w:rPr>
        <w:t xml:space="preserve">In instances when Virginia receives an additional allotment of federal funds beyond what was estimated or when federal funds </w:t>
      </w:r>
      <w:r w:rsidR="004F17EB">
        <w:rPr>
          <w:rFonts w:ascii="Arial" w:hAnsi="Arial" w:cs="Arial"/>
          <w:sz w:val="24"/>
          <w:szCs w:val="24"/>
        </w:rPr>
        <w:t>are allocated to DARS late in the FFY</w:t>
      </w:r>
      <w:r>
        <w:rPr>
          <w:rFonts w:ascii="Arial" w:hAnsi="Arial" w:cs="Arial"/>
          <w:sz w:val="24"/>
          <w:szCs w:val="24"/>
        </w:rPr>
        <w:t xml:space="preserve">, </w:t>
      </w:r>
      <w:r w:rsidRPr="00896F2D">
        <w:rPr>
          <w:rFonts w:ascii="Arial" w:hAnsi="Arial" w:cs="Arial"/>
          <w:sz w:val="24"/>
          <w:szCs w:val="24"/>
        </w:rPr>
        <w:t xml:space="preserve">DARS adds the reallotted funds to the reserve funds and follows the same process identified in </w:t>
      </w:r>
      <w:r w:rsidR="004F17EB" w:rsidRPr="0041140B">
        <w:rPr>
          <w:rFonts w:ascii="Arial" w:hAnsi="Arial" w:cs="Arial"/>
          <w:sz w:val="24"/>
          <w:szCs w:val="24"/>
        </w:rPr>
        <w:t>I</w:t>
      </w:r>
      <w:r w:rsidR="0041140B" w:rsidRPr="0041140B">
        <w:rPr>
          <w:rFonts w:ascii="Arial" w:hAnsi="Arial" w:cs="Arial"/>
          <w:sz w:val="24"/>
          <w:szCs w:val="24"/>
        </w:rPr>
        <w:t>tem 4.</w:t>
      </w:r>
    </w:p>
    <w:sectPr w:rsidR="00C840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9F" w:rsidRDefault="00C8409F" w:rsidP="00C8409F">
      <w:pPr>
        <w:spacing w:after="0" w:line="240" w:lineRule="auto"/>
      </w:pPr>
      <w:r>
        <w:separator/>
      </w:r>
    </w:p>
  </w:endnote>
  <w:endnote w:type="continuationSeparator" w:id="0">
    <w:p w:rsidR="00C8409F" w:rsidRDefault="00C8409F" w:rsidP="00C8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75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F2D" w:rsidRDefault="00896F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2D">
          <w:rPr>
            <w:noProof/>
          </w:rPr>
          <w:t>1</w:t>
        </w:r>
        <w:r>
          <w:rPr>
            <w:noProof/>
          </w:rPr>
          <w:fldChar w:fldCharType="end"/>
        </w:r>
        <w:r w:rsidR="001720DA">
          <w:tab/>
        </w:r>
        <w:r w:rsidR="001720DA">
          <w:tab/>
          <w:t>July 19</w:t>
        </w:r>
        <w:r>
          <w:t>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9F" w:rsidRDefault="00C8409F" w:rsidP="00C8409F">
      <w:pPr>
        <w:spacing w:after="0" w:line="240" w:lineRule="auto"/>
      </w:pPr>
      <w:r>
        <w:separator/>
      </w:r>
    </w:p>
  </w:footnote>
  <w:footnote w:type="continuationSeparator" w:id="0">
    <w:p w:rsidR="00C8409F" w:rsidRDefault="00C8409F" w:rsidP="00C8409F">
      <w:pPr>
        <w:spacing w:after="0" w:line="240" w:lineRule="auto"/>
      </w:pPr>
      <w:r>
        <w:continuationSeparator/>
      </w:r>
    </w:p>
  </w:footnote>
  <w:footnote w:id="1">
    <w:p w:rsidR="00C8409F" w:rsidRDefault="00C8409F" w:rsidP="00C8409F">
      <w:pPr>
        <w:pStyle w:val="FootnoteText"/>
      </w:pPr>
      <w:r>
        <w:rPr>
          <w:rStyle w:val="FootnoteReference"/>
        </w:rPr>
        <w:footnoteRef/>
      </w:r>
      <w:r>
        <w:t xml:space="preserve"> Note: The 2012 IFF mirrors the current IFF identified in Item 5. </w:t>
      </w:r>
    </w:p>
  </w:footnote>
  <w:footnote w:id="2">
    <w:p w:rsidR="00C8409F" w:rsidRDefault="00C8409F" w:rsidP="00C840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4E9F">
        <w:t xml:space="preserve">In FFY2021, </w:t>
      </w:r>
      <w:r w:rsidRPr="00BD52AD">
        <w:t>PSA 13 did</w:t>
      </w:r>
      <w:r w:rsidRPr="007B4E9F">
        <w:t xml:space="preserve"> not operate an ombudsman program. The </w:t>
      </w:r>
      <w:r>
        <w:t xml:space="preserve">base </w:t>
      </w:r>
      <w:r w:rsidRPr="007B4E9F">
        <w:t>funding for this PSA’s ombudsman program was provided directly to the Office of the State Long-Term Care Ombudsman instead.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2D" w:rsidRPr="00576DCC" w:rsidRDefault="00896F2D" w:rsidP="00896F2D">
    <w:pPr>
      <w:pStyle w:val="Header"/>
      <w:jc w:val="center"/>
      <w:rPr>
        <w:rFonts w:ascii="Arial" w:hAnsi="Arial" w:cs="Arial"/>
        <w:b/>
        <w:sz w:val="24"/>
        <w:szCs w:val="24"/>
      </w:rPr>
    </w:pPr>
    <w:r w:rsidRPr="00576DCC">
      <w:rPr>
        <w:rFonts w:ascii="Arial" w:hAnsi="Arial" w:cs="Arial"/>
        <w:b/>
        <w:sz w:val="24"/>
        <w:szCs w:val="24"/>
      </w:rPr>
      <w:t xml:space="preserve">Virginia’s Current </w:t>
    </w:r>
    <w:r>
      <w:rPr>
        <w:rFonts w:ascii="Arial" w:hAnsi="Arial" w:cs="Arial"/>
        <w:b/>
        <w:sz w:val="24"/>
        <w:szCs w:val="24"/>
      </w:rPr>
      <w:t>Title VII – Chapters 2 &amp; 3 Allocation Process</w:t>
    </w:r>
  </w:p>
  <w:p w:rsidR="00896F2D" w:rsidRDefault="0089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3A12"/>
    <w:multiLevelType w:val="hybridMultilevel"/>
    <w:tmpl w:val="FFC0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9F"/>
    <w:rsid w:val="001720DA"/>
    <w:rsid w:val="003868EA"/>
    <w:rsid w:val="0041140B"/>
    <w:rsid w:val="00457E2D"/>
    <w:rsid w:val="004F17EB"/>
    <w:rsid w:val="00564D53"/>
    <w:rsid w:val="00582BDF"/>
    <w:rsid w:val="00896F2D"/>
    <w:rsid w:val="00A918F6"/>
    <w:rsid w:val="00AD186B"/>
    <w:rsid w:val="00C8409F"/>
    <w:rsid w:val="00D11293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43FD3-9373-4932-ABD2-0958A26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4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09F"/>
    <w:rPr>
      <w:vertAlign w:val="superscript"/>
    </w:rPr>
  </w:style>
  <w:style w:type="paragraph" w:styleId="NoSpacing">
    <w:name w:val="No Spacing"/>
    <w:uiPriority w:val="1"/>
    <w:qFormat/>
    <w:rsid w:val="00C84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2D"/>
  </w:style>
  <w:style w:type="paragraph" w:styleId="Footer">
    <w:name w:val="footer"/>
    <w:basedOn w:val="Normal"/>
    <w:link w:val="FooterChar"/>
    <w:uiPriority w:val="99"/>
    <w:unhideWhenUsed/>
    <w:rsid w:val="0089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Intrastate Funding Formula - State Plan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NKAHMF2WWKTP-54631402-1507</_dlc_DocId>
    <_dlc_DocIdUrl xmlns="89461f00-0b74-46d7-ba90-7a84aa4e2ee4">
      <Url>https://sharepoint.wwrc.net/VDAproviders/_layouts/15/DocIdRedir.aspx?ID=NKAHMF2WWKTP-54631402-1507</Url>
      <Description>NKAHMF2WWKTP-54631402-1507</Description>
    </_dlc_DocIdUrl>
  </documentManagement>
</p:properties>
</file>

<file path=customXml/itemProps1.xml><?xml version="1.0" encoding="utf-8"?>
<ds:datastoreItem xmlns:ds="http://schemas.openxmlformats.org/officeDocument/2006/customXml" ds:itemID="{6D999170-988C-45E4-9C1B-DE438065E1C0}"/>
</file>

<file path=customXml/itemProps2.xml><?xml version="1.0" encoding="utf-8"?>
<ds:datastoreItem xmlns:ds="http://schemas.openxmlformats.org/officeDocument/2006/customXml" ds:itemID="{E98416A9-E0C4-4067-B3FF-A9F51191E9D1}"/>
</file>

<file path=customXml/itemProps3.xml><?xml version="1.0" encoding="utf-8"?>
<ds:datastoreItem xmlns:ds="http://schemas.openxmlformats.org/officeDocument/2006/customXml" ds:itemID="{DE47EE1E-3595-4F6D-9268-EB96783611A7}"/>
</file>

<file path=customXml/itemProps4.xml><?xml version="1.0" encoding="utf-8"?>
<ds:datastoreItem xmlns:ds="http://schemas.openxmlformats.org/officeDocument/2006/customXml" ds:itemID="{0776AE65-FE32-4FEA-A12B-28265BAA2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Reconfigured Current Title VII Allocations for 7-25-2022</dc:title>
  <dc:subject/>
  <dc:creator>Arbogast, Charlotte (DARS)</dc:creator>
  <cp:keywords/>
  <dc:description/>
  <cp:lastModifiedBy>Brinkley, Tanya (DARS)</cp:lastModifiedBy>
  <cp:revision>2</cp:revision>
  <dcterms:created xsi:type="dcterms:W3CDTF">2022-07-26T16:29:00Z</dcterms:created>
  <dcterms:modified xsi:type="dcterms:W3CDTF">2022-07-26T16:29:00Z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a92cd75e-036a-4edf-abd8-a500854806d9</vt:lpwstr>
  </property>
</Properties>
</file>